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205AA" w14:textId="77777777" w:rsidR="00E8210F" w:rsidRPr="00572199" w:rsidRDefault="00E8210F" w:rsidP="0050140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72199">
        <w:rPr>
          <w:b/>
          <w:sz w:val="28"/>
          <w:szCs w:val="28"/>
        </w:rPr>
        <w:t>LING 34</w:t>
      </w:r>
      <w:r w:rsidR="00EB4B9E" w:rsidRPr="00572199">
        <w:rPr>
          <w:b/>
          <w:sz w:val="28"/>
          <w:szCs w:val="28"/>
        </w:rPr>
        <w:t>3</w:t>
      </w:r>
      <w:r w:rsidRPr="00572199">
        <w:rPr>
          <w:b/>
          <w:sz w:val="28"/>
          <w:szCs w:val="28"/>
        </w:rPr>
        <w:t>: Women, Men and Language</w:t>
      </w:r>
    </w:p>
    <w:p w14:paraId="38DC8990" w14:textId="77777777" w:rsidR="003517D8" w:rsidRDefault="003517D8" w:rsidP="00C561A5">
      <w:pPr>
        <w:jc w:val="center"/>
        <w:rPr>
          <w:sz w:val="22"/>
          <w:szCs w:val="22"/>
        </w:rPr>
      </w:pPr>
      <w:r>
        <w:rPr>
          <w:sz w:val="22"/>
          <w:szCs w:val="22"/>
        </w:rPr>
        <w:t>Summer 2016 Schedule</w:t>
      </w:r>
    </w:p>
    <w:p w14:paraId="202BC86D" w14:textId="7F963AF1" w:rsidR="0042705B" w:rsidRPr="00572199" w:rsidRDefault="003517D8" w:rsidP="00C561A5">
      <w:pPr>
        <w:jc w:val="center"/>
        <w:rPr>
          <w:sz w:val="22"/>
          <w:szCs w:val="22"/>
        </w:rPr>
      </w:pPr>
      <w:r>
        <w:rPr>
          <w:sz w:val="22"/>
          <w:szCs w:val="22"/>
        </w:rPr>
        <w:t>Monday – Thursday, 1:00-3:00pm</w:t>
      </w:r>
    </w:p>
    <w:p w14:paraId="6DE95C03" w14:textId="77777777" w:rsidR="00FD52D6" w:rsidRPr="00572199" w:rsidRDefault="00FD52D6">
      <w:pPr>
        <w:rPr>
          <w:sz w:val="22"/>
          <w:szCs w:val="22"/>
        </w:rPr>
      </w:pPr>
    </w:p>
    <w:p w14:paraId="4091EA32" w14:textId="77777777" w:rsidR="00E8210F" w:rsidRPr="00E05C9D" w:rsidRDefault="00EB4B9E">
      <w:pPr>
        <w:rPr>
          <w:b/>
          <w:i/>
          <w:sz w:val="22"/>
          <w:szCs w:val="22"/>
        </w:rPr>
      </w:pPr>
      <w:r w:rsidRPr="00E05C9D">
        <w:rPr>
          <w:b/>
          <w:i/>
          <w:sz w:val="22"/>
          <w:szCs w:val="22"/>
        </w:rPr>
        <w:t>Contact</w:t>
      </w:r>
      <w:r w:rsidR="00E8210F" w:rsidRPr="00E05C9D">
        <w:rPr>
          <w:b/>
          <w:i/>
          <w:sz w:val="22"/>
          <w:szCs w:val="22"/>
        </w:rPr>
        <w:t xml:space="preserve"> </w:t>
      </w:r>
      <w:r w:rsidRPr="00E05C9D">
        <w:rPr>
          <w:b/>
          <w:i/>
          <w:sz w:val="22"/>
          <w:szCs w:val="22"/>
        </w:rPr>
        <w:t>Info</w:t>
      </w:r>
    </w:p>
    <w:p w14:paraId="38D2507D" w14:textId="25694C51" w:rsidR="00EB4B9E" w:rsidRPr="00E05C9D" w:rsidRDefault="00EB4B9E">
      <w:pPr>
        <w:rPr>
          <w:sz w:val="22"/>
          <w:szCs w:val="22"/>
        </w:rPr>
      </w:pPr>
      <w:r w:rsidRPr="00E05C9D">
        <w:rPr>
          <w:sz w:val="22"/>
          <w:szCs w:val="22"/>
        </w:rPr>
        <w:t>Professor: Jennifer Sclafani</w:t>
      </w:r>
      <w:r w:rsidR="00572199" w:rsidRPr="00E05C9D">
        <w:rPr>
          <w:sz w:val="22"/>
          <w:szCs w:val="22"/>
        </w:rPr>
        <w:tab/>
      </w:r>
      <w:r w:rsidR="00572199" w:rsidRPr="00E05C9D">
        <w:rPr>
          <w:sz w:val="22"/>
          <w:szCs w:val="22"/>
        </w:rPr>
        <w:tab/>
      </w:r>
      <w:r w:rsidR="00E05C9D" w:rsidRPr="00E05C9D">
        <w:rPr>
          <w:sz w:val="22"/>
          <w:szCs w:val="22"/>
        </w:rPr>
        <w:tab/>
      </w:r>
      <w:r w:rsidR="00E05C9D" w:rsidRPr="00E05C9D">
        <w:rPr>
          <w:sz w:val="22"/>
          <w:szCs w:val="22"/>
        </w:rPr>
        <w:tab/>
      </w:r>
      <w:r w:rsidR="00572199" w:rsidRPr="00E05C9D">
        <w:rPr>
          <w:sz w:val="22"/>
          <w:szCs w:val="22"/>
        </w:rPr>
        <w:tab/>
      </w:r>
    </w:p>
    <w:p w14:paraId="77669A75" w14:textId="53B6C325" w:rsidR="00E8210F" w:rsidRPr="00E05C9D" w:rsidRDefault="00E8210F">
      <w:pPr>
        <w:rPr>
          <w:sz w:val="22"/>
          <w:szCs w:val="22"/>
        </w:rPr>
      </w:pPr>
      <w:r w:rsidRPr="00E05C9D">
        <w:rPr>
          <w:sz w:val="22"/>
          <w:szCs w:val="22"/>
        </w:rPr>
        <w:t xml:space="preserve">Email: jms236@georgetown.edu </w:t>
      </w:r>
      <w:r w:rsidR="00E05C9D" w:rsidRPr="00E05C9D">
        <w:rPr>
          <w:sz w:val="22"/>
          <w:szCs w:val="22"/>
        </w:rPr>
        <w:tab/>
      </w:r>
      <w:r w:rsidR="00E05C9D" w:rsidRPr="00E05C9D">
        <w:rPr>
          <w:sz w:val="22"/>
          <w:szCs w:val="22"/>
        </w:rPr>
        <w:tab/>
      </w:r>
      <w:r w:rsidR="00E05C9D" w:rsidRPr="00E05C9D">
        <w:rPr>
          <w:sz w:val="22"/>
          <w:szCs w:val="22"/>
        </w:rPr>
        <w:tab/>
      </w:r>
    </w:p>
    <w:p w14:paraId="5B1D48B8" w14:textId="4561E043" w:rsidR="00572199" w:rsidRPr="00E05C9D" w:rsidRDefault="000024FC">
      <w:pPr>
        <w:rPr>
          <w:sz w:val="22"/>
          <w:szCs w:val="22"/>
        </w:rPr>
      </w:pPr>
      <w:r w:rsidRPr="00E05C9D">
        <w:rPr>
          <w:sz w:val="22"/>
          <w:szCs w:val="22"/>
        </w:rPr>
        <w:t xml:space="preserve">Office Hours: </w:t>
      </w:r>
      <w:r w:rsidR="004F7121">
        <w:rPr>
          <w:sz w:val="22"/>
          <w:szCs w:val="22"/>
        </w:rPr>
        <w:t>Mon/Wed 11:30am-12:45</w:t>
      </w:r>
      <w:r w:rsidR="00572199" w:rsidRPr="00E05C9D">
        <w:rPr>
          <w:sz w:val="22"/>
          <w:szCs w:val="22"/>
        </w:rPr>
        <w:tab/>
      </w:r>
      <w:r w:rsidR="004F7121">
        <w:rPr>
          <w:sz w:val="22"/>
          <w:szCs w:val="22"/>
        </w:rPr>
        <w:t>pm</w:t>
      </w:r>
      <w:r w:rsidR="00E05C9D" w:rsidRPr="00E05C9D">
        <w:rPr>
          <w:sz w:val="22"/>
          <w:szCs w:val="22"/>
        </w:rPr>
        <w:tab/>
      </w:r>
      <w:r w:rsidR="00C561A5">
        <w:rPr>
          <w:sz w:val="22"/>
          <w:szCs w:val="22"/>
        </w:rPr>
        <w:tab/>
        <w:t xml:space="preserve"> </w:t>
      </w:r>
    </w:p>
    <w:p w14:paraId="6090FC04" w14:textId="349508F6" w:rsidR="00E8210F" w:rsidRPr="00572199" w:rsidRDefault="00572199">
      <w:pPr>
        <w:rPr>
          <w:sz w:val="22"/>
          <w:szCs w:val="22"/>
        </w:rPr>
      </w:pPr>
      <w:r w:rsidRPr="00E05C9D">
        <w:rPr>
          <w:sz w:val="22"/>
          <w:szCs w:val="22"/>
        </w:rPr>
        <w:t xml:space="preserve">Location: </w:t>
      </w:r>
      <w:r w:rsidR="00E8210F" w:rsidRPr="00E05C9D">
        <w:rPr>
          <w:sz w:val="22"/>
          <w:szCs w:val="22"/>
        </w:rPr>
        <w:t xml:space="preserve">Poulton </w:t>
      </w:r>
      <w:r w:rsidR="000024FC" w:rsidRPr="00E05C9D">
        <w:rPr>
          <w:sz w:val="22"/>
          <w:szCs w:val="22"/>
        </w:rPr>
        <w:t xml:space="preserve">Hall </w:t>
      </w:r>
      <w:r w:rsidR="004F7121">
        <w:rPr>
          <w:sz w:val="22"/>
          <w:szCs w:val="22"/>
        </w:rPr>
        <w:t>247</w:t>
      </w:r>
      <w:r w:rsidR="00E05C9D" w:rsidRPr="00E05C9D">
        <w:rPr>
          <w:sz w:val="22"/>
          <w:szCs w:val="22"/>
        </w:rPr>
        <w:tab/>
      </w:r>
      <w:r w:rsidR="00E05C9D" w:rsidRPr="00E05C9D">
        <w:rPr>
          <w:sz w:val="22"/>
          <w:szCs w:val="22"/>
        </w:rPr>
        <w:tab/>
      </w:r>
      <w:r w:rsidR="00E05C9D" w:rsidRPr="00E05C9D">
        <w:rPr>
          <w:sz w:val="22"/>
          <w:szCs w:val="22"/>
        </w:rPr>
        <w:tab/>
      </w:r>
      <w:r w:rsidR="00E05C9D" w:rsidRPr="00E05C9D">
        <w:rPr>
          <w:sz w:val="22"/>
          <w:szCs w:val="22"/>
        </w:rPr>
        <w:tab/>
      </w:r>
      <w:r w:rsidR="00C561A5">
        <w:rPr>
          <w:sz w:val="22"/>
          <w:szCs w:val="22"/>
        </w:rPr>
        <w:t xml:space="preserve"> </w:t>
      </w:r>
    </w:p>
    <w:p w14:paraId="35211865" w14:textId="77777777" w:rsidR="00E8210F" w:rsidRPr="00572199" w:rsidRDefault="00E8210F">
      <w:pPr>
        <w:rPr>
          <w:sz w:val="22"/>
          <w:szCs w:val="22"/>
        </w:rPr>
      </w:pPr>
    </w:p>
    <w:p w14:paraId="51B1A698" w14:textId="77777777" w:rsidR="00E8210F" w:rsidRPr="00572199" w:rsidRDefault="00E8210F">
      <w:pPr>
        <w:rPr>
          <w:b/>
          <w:i/>
          <w:sz w:val="22"/>
          <w:szCs w:val="22"/>
        </w:rPr>
      </w:pPr>
      <w:r w:rsidRPr="00572199">
        <w:rPr>
          <w:b/>
          <w:i/>
          <w:sz w:val="22"/>
          <w:szCs w:val="22"/>
        </w:rPr>
        <w:t>Course Objectives</w:t>
      </w:r>
    </w:p>
    <w:p w14:paraId="66F2C3FD" w14:textId="3B7F1F76" w:rsidR="00E8210F" w:rsidRPr="00572199" w:rsidRDefault="00E8210F">
      <w:pPr>
        <w:rPr>
          <w:sz w:val="22"/>
          <w:szCs w:val="22"/>
        </w:rPr>
      </w:pPr>
      <w:r w:rsidRPr="00572199">
        <w:rPr>
          <w:sz w:val="22"/>
          <w:szCs w:val="22"/>
        </w:rPr>
        <w:t>In this co</w:t>
      </w:r>
      <w:r w:rsidR="005A10A8" w:rsidRPr="00572199">
        <w:rPr>
          <w:sz w:val="22"/>
          <w:szCs w:val="22"/>
        </w:rPr>
        <w:t xml:space="preserve">urse, we </w:t>
      </w:r>
      <w:r w:rsidRPr="00572199">
        <w:rPr>
          <w:sz w:val="22"/>
          <w:szCs w:val="22"/>
        </w:rPr>
        <w:t xml:space="preserve">explore the complex relationships between language, gender, and sexuality, integrating </w:t>
      </w:r>
      <w:r w:rsidR="001D3126">
        <w:rPr>
          <w:sz w:val="22"/>
          <w:szCs w:val="22"/>
        </w:rPr>
        <w:t xml:space="preserve">theory and analytical </w:t>
      </w:r>
      <w:r w:rsidRPr="00572199">
        <w:rPr>
          <w:sz w:val="22"/>
          <w:szCs w:val="22"/>
        </w:rPr>
        <w:t xml:space="preserve">perspectives from sociolinguistics and gender theory. Through readings, lectures, </w:t>
      </w:r>
      <w:r w:rsidR="00B20458" w:rsidRPr="00572199">
        <w:rPr>
          <w:sz w:val="22"/>
          <w:szCs w:val="22"/>
        </w:rPr>
        <w:t>full-</w:t>
      </w:r>
      <w:r w:rsidRPr="00572199">
        <w:rPr>
          <w:sz w:val="22"/>
          <w:szCs w:val="22"/>
        </w:rPr>
        <w:t xml:space="preserve">class </w:t>
      </w:r>
      <w:r w:rsidR="00B20458" w:rsidRPr="00572199">
        <w:rPr>
          <w:sz w:val="22"/>
          <w:szCs w:val="22"/>
        </w:rPr>
        <w:t>and small group discussion</w:t>
      </w:r>
      <w:r w:rsidRPr="00572199">
        <w:rPr>
          <w:sz w:val="22"/>
          <w:szCs w:val="22"/>
        </w:rPr>
        <w:t xml:space="preserve">, and </w:t>
      </w:r>
      <w:r w:rsidR="00B20458" w:rsidRPr="00572199">
        <w:rPr>
          <w:sz w:val="22"/>
          <w:szCs w:val="22"/>
        </w:rPr>
        <w:t xml:space="preserve">hands-on </w:t>
      </w:r>
      <w:r w:rsidRPr="00572199">
        <w:rPr>
          <w:sz w:val="22"/>
          <w:szCs w:val="22"/>
        </w:rPr>
        <w:t>d</w:t>
      </w:r>
      <w:r w:rsidR="00DC1884" w:rsidRPr="00572199">
        <w:rPr>
          <w:sz w:val="22"/>
          <w:szCs w:val="22"/>
        </w:rPr>
        <w:t>ata workshops, we will co</w:t>
      </w:r>
      <w:r w:rsidR="005A10A8" w:rsidRPr="00572199">
        <w:rPr>
          <w:sz w:val="22"/>
          <w:szCs w:val="22"/>
        </w:rPr>
        <w:t xml:space="preserve">ver </w:t>
      </w:r>
      <w:r w:rsidRPr="00572199">
        <w:rPr>
          <w:sz w:val="22"/>
          <w:szCs w:val="22"/>
        </w:rPr>
        <w:t>topics such as:</w:t>
      </w:r>
    </w:p>
    <w:p w14:paraId="108F8B8D" w14:textId="77777777" w:rsidR="00FD52D6" w:rsidRPr="00572199" w:rsidRDefault="00FD52D6">
      <w:pPr>
        <w:rPr>
          <w:sz w:val="22"/>
          <w:szCs w:val="22"/>
        </w:rPr>
      </w:pPr>
    </w:p>
    <w:p w14:paraId="162EEF19" w14:textId="1E4AB271" w:rsidR="00E8210F" w:rsidRPr="00572199" w:rsidRDefault="00E8210F" w:rsidP="000024FC">
      <w:pPr>
        <w:numPr>
          <w:ilvl w:val="0"/>
          <w:numId w:val="1"/>
        </w:numPr>
        <w:rPr>
          <w:sz w:val="22"/>
          <w:szCs w:val="22"/>
        </w:rPr>
      </w:pPr>
      <w:r w:rsidRPr="00572199">
        <w:rPr>
          <w:sz w:val="22"/>
          <w:szCs w:val="22"/>
        </w:rPr>
        <w:t>Gender as socially constructed through language use</w:t>
      </w:r>
    </w:p>
    <w:p w14:paraId="21975A51" w14:textId="16E6D53A" w:rsidR="00E8210F" w:rsidRPr="00572199" w:rsidRDefault="00E8210F" w:rsidP="004879FF">
      <w:pPr>
        <w:numPr>
          <w:ilvl w:val="0"/>
          <w:numId w:val="1"/>
        </w:numPr>
        <w:rPr>
          <w:sz w:val="22"/>
          <w:szCs w:val="22"/>
        </w:rPr>
      </w:pPr>
      <w:r w:rsidRPr="00572199">
        <w:rPr>
          <w:sz w:val="22"/>
          <w:szCs w:val="22"/>
        </w:rPr>
        <w:t>Gender differences in lang</w:t>
      </w:r>
      <w:r w:rsidR="004879FF" w:rsidRPr="00572199">
        <w:rPr>
          <w:sz w:val="22"/>
          <w:szCs w:val="22"/>
        </w:rPr>
        <w:t xml:space="preserve">uage use and interaction (e.g., </w:t>
      </w:r>
      <w:r w:rsidRPr="00572199">
        <w:rPr>
          <w:sz w:val="22"/>
          <w:szCs w:val="22"/>
        </w:rPr>
        <w:t>turn-taking</w:t>
      </w:r>
      <w:r w:rsidR="005D7EC2" w:rsidRPr="00572199">
        <w:rPr>
          <w:sz w:val="22"/>
          <w:szCs w:val="22"/>
        </w:rPr>
        <w:t xml:space="preserve"> an</w:t>
      </w:r>
      <w:r w:rsidR="004879FF" w:rsidRPr="00572199">
        <w:rPr>
          <w:sz w:val="22"/>
          <w:szCs w:val="22"/>
        </w:rPr>
        <w:t xml:space="preserve">d interrupting in conversation, </w:t>
      </w:r>
      <w:r w:rsidRPr="00572199">
        <w:rPr>
          <w:sz w:val="22"/>
          <w:szCs w:val="22"/>
        </w:rPr>
        <w:t xml:space="preserve">gossip, </w:t>
      </w:r>
      <w:r w:rsidR="005D7EC2" w:rsidRPr="00572199">
        <w:rPr>
          <w:sz w:val="22"/>
          <w:szCs w:val="22"/>
        </w:rPr>
        <w:t xml:space="preserve">humor, </w:t>
      </w:r>
      <w:r w:rsidR="001D3126">
        <w:rPr>
          <w:sz w:val="22"/>
          <w:szCs w:val="22"/>
        </w:rPr>
        <w:t xml:space="preserve">narrative, </w:t>
      </w:r>
      <w:r w:rsidR="00715EE5" w:rsidRPr="00572199">
        <w:rPr>
          <w:sz w:val="22"/>
          <w:szCs w:val="22"/>
        </w:rPr>
        <w:t>conflict</w:t>
      </w:r>
      <w:r w:rsidRPr="00572199">
        <w:rPr>
          <w:sz w:val="22"/>
          <w:szCs w:val="22"/>
        </w:rPr>
        <w:t>)</w:t>
      </w:r>
    </w:p>
    <w:p w14:paraId="32AC531F" w14:textId="17FD9D56" w:rsidR="000024FC" w:rsidRPr="00572199" w:rsidRDefault="000024FC" w:rsidP="00E8210F">
      <w:pPr>
        <w:numPr>
          <w:ilvl w:val="0"/>
          <w:numId w:val="1"/>
        </w:numPr>
        <w:rPr>
          <w:sz w:val="22"/>
          <w:szCs w:val="22"/>
        </w:rPr>
      </w:pPr>
      <w:r w:rsidRPr="00572199">
        <w:rPr>
          <w:sz w:val="22"/>
          <w:szCs w:val="22"/>
        </w:rPr>
        <w:t>Sexism and heterosexism in language</w:t>
      </w:r>
    </w:p>
    <w:p w14:paraId="66D650DD" w14:textId="7576AEF0" w:rsidR="00E8210F" w:rsidRPr="00572199" w:rsidRDefault="00E8210F" w:rsidP="005D7EC2">
      <w:pPr>
        <w:numPr>
          <w:ilvl w:val="0"/>
          <w:numId w:val="1"/>
        </w:numPr>
        <w:rPr>
          <w:sz w:val="22"/>
          <w:szCs w:val="22"/>
        </w:rPr>
      </w:pPr>
      <w:r w:rsidRPr="00572199">
        <w:rPr>
          <w:sz w:val="22"/>
          <w:szCs w:val="22"/>
        </w:rPr>
        <w:t>Sexual orientation and language</w:t>
      </w:r>
    </w:p>
    <w:p w14:paraId="6D43BAC1" w14:textId="038C6239" w:rsidR="004879FF" w:rsidRPr="00572199" w:rsidRDefault="004879FF" w:rsidP="005D7EC2">
      <w:pPr>
        <w:numPr>
          <w:ilvl w:val="0"/>
          <w:numId w:val="1"/>
        </w:numPr>
        <w:rPr>
          <w:sz w:val="22"/>
          <w:szCs w:val="22"/>
        </w:rPr>
      </w:pPr>
      <w:r w:rsidRPr="00572199">
        <w:rPr>
          <w:sz w:val="22"/>
          <w:szCs w:val="22"/>
        </w:rPr>
        <w:t>Representations of gender and gendered language</w:t>
      </w:r>
      <w:r w:rsidR="00715EE5" w:rsidRPr="00572199">
        <w:rPr>
          <w:sz w:val="22"/>
          <w:szCs w:val="22"/>
        </w:rPr>
        <w:t xml:space="preserve"> use</w:t>
      </w:r>
      <w:r w:rsidRPr="00572199">
        <w:rPr>
          <w:sz w:val="22"/>
          <w:szCs w:val="22"/>
        </w:rPr>
        <w:t xml:space="preserve"> in the media </w:t>
      </w:r>
    </w:p>
    <w:p w14:paraId="7739AAA7" w14:textId="5C4E15C0" w:rsidR="00E8210F" w:rsidRPr="00572199" w:rsidRDefault="00E8210F" w:rsidP="00FD52D6">
      <w:pPr>
        <w:numPr>
          <w:ilvl w:val="0"/>
          <w:numId w:val="1"/>
        </w:numPr>
        <w:rPr>
          <w:sz w:val="22"/>
          <w:szCs w:val="22"/>
        </w:rPr>
      </w:pPr>
      <w:r w:rsidRPr="00572199">
        <w:rPr>
          <w:sz w:val="22"/>
          <w:szCs w:val="22"/>
        </w:rPr>
        <w:t xml:space="preserve">Language and gender in institutional contexts (school, family, work, </w:t>
      </w:r>
      <w:r w:rsidR="004879FF" w:rsidRPr="00572199">
        <w:rPr>
          <w:sz w:val="22"/>
          <w:szCs w:val="22"/>
        </w:rPr>
        <w:t>law</w:t>
      </w:r>
      <w:r w:rsidRPr="00572199">
        <w:rPr>
          <w:sz w:val="22"/>
          <w:szCs w:val="22"/>
        </w:rPr>
        <w:t>)</w:t>
      </w:r>
    </w:p>
    <w:p w14:paraId="4F086821" w14:textId="77777777" w:rsidR="00FD52D6" w:rsidRPr="00572199" w:rsidRDefault="00FD52D6">
      <w:pPr>
        <w:rPr>
          <w:sz w:val="22"/>
          <w:szCs w:val="22"/>
        </w:rPr>
      </w:pPr>
    </w:p>
    <w:p w14:paraId="7A54C379" w14:textId="166AA8B7" w:rsidR="00E8210F" w:rsidRPr="00572199" w:rsidRDefault="005A10A8">
      <w:pPr>
        <w:rPr>
          <w:sz w:val="22"/>
          <w:szCs w:val="22"/>
        </w:rPr>
      </w:pPr>
      <w:r w:rsidRPr="00572199">
        <w:rPr>
          <w:sz w:val="22"/>
          <w:szCs w:val="22"/>
        </w:rPr>
        <w:t xml:space="preserve">Students </w:t>
      </w:r>
      <w:r w:rsidR="00E8210F" w:rsidRPr="00572199">
        <w:rPr>
          <w:sz w:val="22"/>
          <w:szCs w:val="22"/>
        </w:rPr>
        <w:t>also carry out original research on a topic of their choice,</w:t>
      </w:r>
      <w:r w:rsidR="00FD52D6" w:rsidRPr="00572199">
        <w:rPr>
          <w:sz w:val="22"/>
          <w:szCs w:val="22"/>
        </w:rPr>
        <w:t xml:space="preserve"> culminating</w:t>
      </w:r>
      <w:r w:rsidR="00E8210F" w:rsidRPr="00572199">
        <w:rPr>
          <w:sz w:val="22"/>
          <w:szCs w:val="22"/>
        </w:rPr>
        <w:t xml:space="preserve"> in a final paper and class presentation. </w:t>
      </w:r>
    </w:p>
    <w:p w14:paraId="20DBEE12" w14:textId="77777777" w:rsidR="00E8210F" w:rsidRPr="00572199" w:rsidRDefault="00E8210F">
      <w:pPr>
        <w:rPr>
          <w:sz w:val="22"/>
          <w:szCs w:val="22"/>
        </w:rPr>
      </w:pPr>
    </w:p>
    <w:p w14:paraId="3048FEC8" w14:textId="77777777" w:rsidR="00E8210F" w:rsidRPr="00572199" w:rsidRDefault="00E8210F">
      <w:pPr>
        <w:rPr>
          <w:b/>
          <w:i/>
          <w:sz w:val="22"/>
          <w:szCs w:val="22"/>
        </w:rPr>
      </w:pPr>
      <w:r w:rsidRPr="00572199">
        <w:rPr>
          <w:b/>
          <w:i/>
          <w:sz w:val="22"/>
          <w:szCs w:val="22"/>
        </w:rPr>
        <w:t>Required Readings</w:t>
      </w:r>
    </w:p>
    <w:p w14:paraId="7B631B1D" w14:textId="4648C6DF" w:rsidR="00E8210F" w:rsidRPr="00572199" w:rsidRDefault="000024FC" w:rsidP="00B20458">
      <w:pPr>
        <w:numPr>
          <w:ilvl w:val="0"/>
          <w:numId w:val="22"/>
        </w:numPr>
        <w:rPr>
          <w:sz w:val="22"/>
          <w:szCs w:val="22"/>
        </w:rPr>
      </w:pPr>
      <w:r w:rsidRPr="00572199">
        <w:rPr>
          <w:sz w:val="22"/>
          <w:szCs w:val="22"/>
        </w:rPr>
        <w:t xml:space="preserve">Tannen, Deborah. 1990. </w:t>
      </w:r>
      <w:r w:rsidR="00E8210F" w:rsidRPr="00572199">
        <w:rPr>
          <w:i/>
          <w:sz w:val="22"/>
          <w:szCs w:val="22"/>
        </w:rPr>
        <w:t>You Just Don't Understand.</w:t>
      </w:r>
      <w:r w:rsidRPr="00572199">
        <w:rPr>
          <w:sz w:val="22"/>
          <w:szCs w:val="22"/>
        </w:rPr>
        <w:t xml:space="preserve"> </w:t>
      </w:r>
      <w:r w:rsidR="00E8210F" w:rsidRPr="00572199">
        <w:rPr>
          <w:sz w:val="22"/>
          <w:szCs w:val="22"/>
        </w:rPr>
        <w:t>New York: Ballantine. (YJDU)</w:t>
      </w:r>
    </w:p>
    <w:p w14:paraId="24142D49" w14:textId="1C0F701D" w:rsidR="00E8210F" w:rsidRPr="00572199" w:rsidRDefault="000024FC" w:rsidP="00B20458">
      <w:pPr>
        <w:numPr>
          <w:ilvl w:val="0"/>
          <w:numId w:val="22"/>
        </w:numPr>
        <w:rPr>
          <w:i/>
          <w:sz w:val="22"/>
          <w:szCs w:val="22"/>
        </w:rPr>
      </w:pPr>
      <w:r w:rsidRPr="00572199">
        <w:rPr>
          <w:sz w:val="22"/>
          <w:szCs w:val="22"/>
        </w:rPr>
        <w:t xml:space="preserve">Lakoff, Robin Tolmach. </w:t>
      </w:r>
      <w:r w:rsidR="00E8210F" w:rsidRPr="00572199">
        <w:rPr>
          <w:sz w:val="22"/>
          <w:szCs w:val="22"/>
        </w:rPr>
        <w:t>2004 [1975].</w:t>
      </w:r>
      <w:r w:rsidRPr="00572199">
        <w:rPr>
          <w:i/>
          <w:sz w:val="22"/>
          <w:szCs w:val="22"/>
        </w:rPr>
        <w:t xml:space="preserve"> </w:t>
      </w:r>
      <w:r w:rsidR="00E8210F" w:rsidRPr="00572199">
        <w:rPr>
          <w:i/>
          <w:sz w:val="22"/>
          <w:szCs w:val="22"/>
        </w:rPr>
        <w:t xml:space="preserve">Language and Woman’s Place: Text and </w:t>
      </w:r>
    </w:p>
    <w:p w14:paraId="425EC50C" w14:textId="00B1A38F" w:rsidR="00E8210F" w:rsidRPr="00572199" w:rsidRDefault="00E8210F" w:rsidP="009A3292">
      <w:pPr>
        <w:ind w:firstLine="720"/>
        <w:rPr>
          <w:sz w:val="22"/>
          <w:szCs w:val="22"/>
        </w:rPr>
      </w:pPr>
      <w:r w:rsidRPr="00572199">
        <w:rPr>
          <w:i/>
          <w:sz w:val="22"/>
          <w:szCs w:val="22"/>
        </w:rPr>
        <w:t>Commentaries.</w:t>
      </w:r>
      <w:r w:rsidR="000024FC" w:rsidRPr="00572199">
        <w:rPr>
          <w:sz w:val="22"/>
          <w:szCs w:val="22"/>
        </w:rPr>
        <w:t xml:space="preserve"> </w:t>
      </w:r>
      <w:r w:rsidRPr="00572199">
        <w:rPr>
          <w:sz w:val="22"/>
          <w:szCs w:val="22"/>
        </w:rPr>
        <w:t>Edited by Mary Bucholtz</w:t>
      </w:r>
      <w:r w:rsidR="000024FC" w:rsidRPr="00572199">
        <w:rPr>
          <w:sz w:val="22"/>
          <w:szCs w:val="22"/>
        </w:rPr>
        <w:t xml:space="preserve">. </w:t>
      </w:r>
      <w:r w:rsidRPr="00572199">
        <w:rPr>
          <w:sz w:val="22"/>
          <w:szCs w:val="22"/>
        </w:rPr>
        <w:t>New York: Oxford University Press. (LWP)</w:t>
      </w:r>
    </w:p>
    <w:p w14:paraId="48BA4330" w14:textId="77777777" w:rsidR="00E8210F" w:rsidRPr="00572199" w:rsidRDefault="00B20458" w:rsidP="00B20458">
      <w:pPr>
        <w:numPr>
          <w:ilvl w:val="0"/>
          <w:numId w:val="23"/>
        </w:numPr>
        <w:rPr>
          <w:sz w:val="22"/>
          <w:szCs w:val="22"/>
        </w:rPr>
      </w:pPr>
      <w:r w:rsidRPr="00572199">
        <w:rPr>
          <w:sz w:val="22"/>
          <w:szCs w:val="22"/>
        </w:rPr>
        <w:t>Other required readings will be available in electronic format on Blackboard</w:t>
      </w:r>
    </w:p>
    <w:p w14:paraId="2CB05C82" w14:textId="77777777" w:rsidR="00E8210F" w:rsidRPr="00572199" w:rsidRDefault="00E8210F">
      <w:pPr>
        <w:rPr>
          <w:sz w:val="22"/>
          <w:szCs w:val="22"/>
        </w:rPr>
      </w:pPr>
    </w:p>
    <w:p w14:paraId="062B8E3C" w14:textId="77777777" w:rsidR="00715EE5" w:rsidRPr="00572199" w:rsidRDefault="00715EE5" w:rsidP="00715EE5">
      <w:pPr>
        <w:rPr>
          <w:b/>
          <w:i/>
          <w:sz w:val="22"/>
          <w:szCs w:val="22"/>
        </w:rPr>
      </w:pPr>
      <w:r w:rsidRPr="00572199">
        <w:rPr>
          <w:b/>
          <w:i/>
          <w:sz w:val="22"/>
          <w:szCs w:val="22"/>
        </w:rPr>
        <w:t>Blackboard Reading Responses</w:t>
      </w:r>
    </w:p>
    <w:p w14:paraId="4FFC54AF" w14:textId="1577B85F" w:rsidR="00715EE5" w:rsidRPr="00572199" w:rsidRDefault="00715EE5" w:rsidP="00715EE5">
      <w:pPr>
        <w:rPr>
          <w:sz w:val="22"/>
          <w:szCs w:val="22"/>
        </w:rPr>
      </w:pPr>
      <w:r w:rsidRPr="00572199">
        <w:rPr>
          <w:sz w:val="22"/>
          <w:szCs w:val="22"/>
        </w:rPr>
        <w:t xml:space="preserve">Students will post responses to the assigned readings on Blackboard </w:t>
      </w:r>
      <w:r w:rsidR="004F7121">
        <w:rPr>
          <w:sz w:val="22"/>
          <w:szCs w:val="22"/>
        </w:rPr>
        <w:t>regularly (12</w:t>
      </w:r>
      <w:r w:rsidRPr="00572199">
        <w:rPr>
          <w:sz w:val="22"/>
          <w:szCs w:val="22"/>
        </w:rPr>
        <w:t xml:space="preserve"> total), as marked in the weekly syllabus. Responses are due </w:t>
      </w:r>
      <w:r w:rsidR="007E6713">
        <w:rPr>
          <w:sz w:val="22"/>
          <w:szCs w:val="22"/>
        </w:rPr>
        <w:t>on the date indicated in the syllabus by</w:t>
      </w:r>
      <w:r w:rsidRPr="00572199">
        <w:rPr>
          <w:sz w:val="22"/>
          <w:szCs w:val="22"/>
        </w:rPr>
        <w:t xml:space="preserve"> the start of class (</w:t>
      </w:r>
      <w:r w:rsidR="00C561A5">
        <w:rPr>
          <w:sz w:val="22"/>
          <w:szCs w:val="22"/>
        </w:rPr>
        <w:t>time</w:t>
      </w:r>
      <w:r w:rsidR="00662927">
        <w:rPr>
          <w:sz w:val="22"/>
          <w:szCs w:val="22"/>
        </w:rPr>
        <w:t>-</w:t>
      </w:r>
      <w:r w:rsidR="004F7121">
        <w:rPr>
          <w:sz w:val="22"/>
          <w:szCs w:val="22"/>
        </w:rPr>
        <w:t>stamped by 1</w:t>
      </w:r>
      <w:r w:rsidR="00CC1DF8">
        <w:rPr>
          <w:sz w:val="22"/>
          <w:szCs w:val="22"/>
        </w:rPr>
        <w:t>:00p</w:t>
      </w:r>
      <w:r w:rsidRPr="00572199">
        <w:rPr>
          <w:sz w:val="22"/>
          <w:szCs w:val="22"/>
        </w:rPr>
        <w:t>m). Students may either respond to specific discussion questions posed by the instructor during class</w:t>
      </w:r>
      <w:r w:rsidR="007E6713">
        <w:rPr>
          <w:sz w:val="22"/>
          <w:szCs w:val="22"/>
        </w:rPr>
        <w:t xml:space="preserve"> or </w:t>
      </w:r>
      <w:r w:rsidR="0077394A">
        <w:rPr>
          <w:sz w:val="22"/>
          <w:szCs w:val="22"/>
        </w:rPr>
        <w:t>may</w:t>
      </w:r>
      <w:r w:rsidRPr="00572199">
        <w:rPr>
          <w:sz w:val="22"/>
          <w:szCs w:val="22"/>
        </w:rPr>
        <w:t xml:space="preserve"> comment on aspects of the reading that they find interesting, illuminati</w:t>
      </w:r>
      <w:r w:rsidR="007E6713">
        <w:rPr>
          <w:sz w:val="22"/>
          <w:szCs w:val="22"/>
        </w:rPr>
        <w:t>ng, problematic, or related to</w:t>
      </w:r>
      <w:r w:rsidRPr="00572199">
        <w:rPr>
          <w:sz w:val="22"/>
          <w:szCs w:val="22"/>
        </w:rPr>
        <w:t xml:space="preserve"> other </w:t>
      </w:r>
      <w:r w:rsidR="007E6713">
        <w:rPr>
          <w:sz w:val="22"/>
          <w:szCs w:val="22"/>
        </w:rPr>
        <w:t xml:space="preserve">academic and professional </w:t>
      </w:r>
      <w:r w:rsidRPr="00572199">
        <w:rPr>
          <w:sz w:val="22"/>
          <w:szCs w:val="22"/>
        </w:rPr>
        <w:t xml:space="preserve">areas of interest. </w:t>
      </w:r>
    </w:p>
    <w:p w14:paraId="1CE762A0" w14:textId="77777777" w:rsidR="006E394C" w:rsidRPr="00572199" w:rsidRDefault="006E394C" w:rsidP="006E394C">
      <w:pPr>
        <w:rPr>
          <w:b/>
          <w:i/>
          <w:sz w:val="22"/>
          <w:szCs w:val="22"/>
          <w:highlight w:val="yellow"/>
        </w:rPr>
      </w:pPr>
    </w:p>
    <w:p w14:paraId="30669D97" w14:textId="1E49A2F4" w:rsidR="00715EE5" w:rsidRPr="00572199" w:rsidRDefault="00715EE5" w:rsidP="00715EE5">
      <w:pPr>
        <w:rPr>
          <w:b/>
          <w:i/>
          <w:sz w:val="22"/>
          <w:szCs w:val="22"/>
        </w:rPr>
      </w:pPr>
      <w:r w:rsidRPr="00572199">
        <w:rPr>
          <w:b/>
          <w:i/>
          <w:sz w:val="22"/>
          <w:szCs w:val="22"/>
        </w:rPr>
        <w:t>Written Assignments</w:t>
      </w:r>
    </w:p>
    <w:p w14:paraId="26E469C2" w14:textId="738B9244" w:rsidR="007E6713" w:rsidRDefault="007E6713" w:rsidP="007E6713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Discourse Analysis</w:t>
      </w:r>
    </w:p>
    <w:p w14:paraId="5F0077D8" w14:textId="5B113315" w:rsidR="007E6713" w:rsidRPr="007E6713" w:rsidRDefault="007E6713" w:rsidP="007E6713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Pr="007E6713">
        <w:rPr>
          <w:sz w:val="22"/>
          <w:szCs w:val="22"/>
        </w:rPr>
        <w:t xml:space="preserve">tudents will record and transcribe a conversation, perform a discourse analysis of the communicative devices that participants employ, and consider how gender </w:t>
      </w:r>
      <w:r w:rsidR="009A3292">
        <w:rPr>
          <w:sz w:val="22"/>
          <w:szCs w:val="22"/>
        </w:rPr>
        <w:t>identities are</w:t>
      </w:r>
      <w:r w:rsidR="0077394A">
        <w:rPr>
          <w:sz w:val="22"/>
          <w:szCs w:val="22"/>
        </w:rPr>
        <w:t xml:space="preserve"> constructed in the interaction</w:t>
      </w:r>
      <w:r w:rsidR="006F62B8">
        <w:rPr>
          <w:sz w:val="22"/>
          <w:szCs w:val="22"/>
        </w:rPr>
        <w:t xml:space="preserve"> (4-6</w:t>
      </w:r>
      <w:r w:rsidRPr="007E6713">
        <w:rPr>
          <w:sz w:val="22"/>
          <w:szCs w:val="22"/>
        </w:rPr>
        <w:t xml:space="preserve"> pages)</w:t>
      </w:r>
      <w:r w:rsidR="0077394A">
        <w:rPr>
          <w:sz w:val="22"/>
          <w:szCs w:val="22"/>
        </w:rPr>
        <w:t>.</w:t>
      </w:r>
    </w:p>
    <w:p w14:paraId="54E0916A" w14:textId="77777777" w:rsidR="007E6713" w:rsidRPr="007E6713" w:rsidRDefault="007E6713" w:rsidP="007E6713">
      <w:pPr>
        <w:rPr>
          <w:sz w:val="22"/>
          <w:szCs w:val="22"/>
        </w:rPr>
      </w:pPr>
    </w:p>
    <w:p w14:paraId="1D5B9C44" w14:textId="77777777" w:rsidR="007E6713" w:rsidRDefault="007E6713" w:rsidP="007E6713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Critical Literature Review</w:t>
      </w:r>
    </w:p>
    <w:p w14:paraId="1AE3DBE0" w14:textId="1CDF67E4" w:rsidR="007E6713" w:rsidRDefault="007E6713" w:rsidP="007E6713">
      <w:p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Pr="007E6713">
        <w:rPr>
          <w:sz w:val="22"/>
          <w:szCs w:val="22"/>
        </w:rPr>
        <w:t xml:space="preserve">tudents will write a critical review of two scholarly articles </w:t>
      </w:r>
      <w:r w:rsidR="001D3126">
        <w:rPr>
          <w:sz w:val="22"/>
          <w:szCs w:val="22"/>
        </w:rPr>
        <w:t xml:space="preserve">or book chapters </w:t>
      </w:r>
      <w:r w:rsidRPr="007E6713">
        <w:rPr>
          <w:sz w:val="22"/>
          <w:szCs w:val="22"/>
        </w:rPr>
        <w:t xml:space="preserve">on a topic of their choice related to the course. The readings chosen for this review may serve as </w:t>
      </w:r>
      <w:r>
        <w:rPr>
          <w:sz w:val="22"/>
          <w:szCs w:val="22"/>
        </w:rPr>
        <w:t>background research</w:t>
      </w:r>
      <w:r w:rsidRPr="007E6713">
        <w:rPr>
          <w:sz w:val="22"/>
          <w:szCs w:val="22"/>
        </w:rPr>
        <w:t xml:space="preserve"> for the final project. Suggestions for appropriate </w:t>
      </w:r>
      <w:r w:rsidR="0077394A">
        <w:rPr>
          <w:sz w:val="22"/>
          <w:szCs w:val="22"/>
        </w:rPr>
        <w:t>readings</w:t>
      </w:r>
      <w:r w:rsidR="006F62B8">
        <w:rPr>
          <w:sz w:val="22"/>
          <w:szCs w:val="22"/>
        </w:rPr>
        <w:t xml:space="preserve"> will be provided in class (4-6</w:t>
      </w:r>
      <w:r w:rsidRPr="007E6713">
        <w:rPr>
          <w:sz w:val="22"/>
          <w:szCs w:val="22"/>
        </w:rPr>
        <w:t xml:space="preserve"> pages).</w:t>
      </w:r>
    </w:p>
    <w:p w14:paraId="59146455" w14:textId="77777777" w:rsidR="0050140E" w:rsidRDefault="0050140E" w:rsidP="007E6713">
      <w:pPr>
        <w:rPr>
          <w:b/>
          <w:i/>
          <w:sz w:val="22"/>
          <w:szCs w:val="22"/>
        </w:rPr>
      </w:pPr>
    </w:p>
    <w:p w14:paraId="1097CC56" w14:textId="7D73A881" w:rsidR="00715EE5" w:rsidRPr="0042705B" w:rsidRDefault="00715EE5" w:rsidP="007E6713">
      <w:pPr>
        <w:rPr>
          <w:b/>
          <w:i/>
          <w:sz w:val="22"/>
          <w:szCs w:val="22"/>
        </w:rPr>
      </w:pPr>
      <w:r w:rsidRPr="00572199">
        <w:rPr>
          <w:b/>
          <w:i/>
          <w:sz w:val="22"/>
          <w:szCs w:val="22"/>
        </w:rPr>
        <w:lastRenderedPageBreak/>
        <w:t xml:space="preserve">Final </w:t>
      </w:r>
      <w:r w:rsidR="007E6713">
        <w:rPr>
          <w:b/>
          <w:i/>
          <w:sz w:val="22"/>
          <w:szCs w:val="22"/>
        </w:rPr>
        <w:t xml:space="preserve">Research </w:t>
      </w:r>
      <w:r w:rsidRPr="00572199">
        <w:rPr>
          <w:b/>
          <w:i/>
          <w:sz w:val="22"/>
          <w:szCs w:val="22"/>
        </w:rPr>
        <w:t>Project</w:t>
      </w:r>
    </w:p>
    <w:p w14:paraId="2A86CA06" w14:textId="50FD7B1C" w:rsidR="00715EE5" w:rsidRPr="00572199" w:rsidRDefault="00715EE5" w:rsidP="00715EE5">
      <w:pPr>
        <w:rPr>
          <w:i/>
          <w:sz w:val="22"/>
          <w:szCs w:val="22"/>
        </w:rPr>
      </w:pPr>
      <w:r w:rsidRPr="00572199">
        <w:rPr>
          <w:sz w:val="22"/>
          <w:szCs w:val="22"/>
        </w:rPr>
        <w:t>Students will conduct original research on a topic of their choice related to any aspect of the course, write up their findings in a formal paper</w:t>
      </w:r>
      <w:r w:rsidR="00585CE3">
        <w:rPr>
          <w:sz w:val="22"/>
          <w:szCs w:val="22"/>
        </w:rPr>
        <w:t xml:space="preserve"> (7-8</w:t>
      </w:r>
      <w:r w:rsidRPr="00572199">
        <w:rPr>
          <w:sz w:val="22"/>
          <w:szCs w:val="22"/>
        </w:rPr>
        <w:t xml:space="preserve"> pages per student), and present their research to the class at the end of the semester. Group work is encouraged</w:t>
      </w:r>
      <w:r w:rsidR="00C561A5">
        <w:rPr>
          <w:sz w:val="22"/>
          <w:szCs w:val="22"/>
        </w:rPr>
        <w:t>. Alternative final project formats are also permitted, but must be discussed with the professor before submission.</w:t>
      </w:r>
    </w:p>
    <w:p w14:paraId="6CF21E29" w14:textId="77777777" w:rsidR="00715EE5" w:rsidRPr="00572199" w:rsidRDefault="00715EE5" w:rsidP="00715EE5">
      <w:pPr>
        <w:rPr>
          <w:sz w:val="22"/>
          <w:szCs w:val="22"/>
        </w:rPr>
      </w:pPr>
    </w:p>
    <w:p w14:paraId="6CA5F74F" w14:textId="2ED342C1" w:rsidR="00FD52D6" w:rsidRPr="00572199" w:rsidRDefault="00FD52D6" w:rsidP="00FD52D6">
      <w:pPr>
        <w:rPr>
          <w:b/>
          <w:i/>
          <w:sz w:val="22"/>
          <w:szCs w:val="22"/>
        </w:rPr>
      </w:pPr>
      <w:r w:rsidRPr="00572199">
        <w:rPr>
          <w:b/>
          <w:i/>
          <w:sz w:val="22"/>
          <w:szCs w:val="22"/>
        </w:rPr>
        <w:t>Media Presentation</w:t>
      </w:r>
    </w:p>
    <w:p w14:paraId="48358833" w14:textId="79B4A49A" w:rsidR="004869F8" w:rsidRPr="00572199" w:rsidRDefault="004F7121" w:rsidP="00715EE5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4869F8" w:rsidRPr="00572199">
        <w:rPr>
          <w:sz w:val="22"/>
          <w:szCs w:val="22"/>
        </w:rPr>
        <w:t xml:space="preserve">tudents will </w:t>
      </w:r>
      <w:r>
        <w:rPr>
          <w:sz w:val="22"/>
          <w:szCs w:val="22"/>
        </w:rPr>
        <w:t xml:space="preserve">each </w:t>
      </w:r>
      <w:r w:rsidR="004869F8" w:rsidRPr="00572199">
        <w:rPr>
          <w:sz w:val="22"/>
          <w:szCs w:val="22"/>
        </w:rPr>
        <w:t>present a media text (e.g. from a website, magazine, television show, film) and demonstrate how it portrays gender and</w:t>
      </w:r>
      <w:r w:rsidR="00C561A5">
        <w:rPr>
          <w:sz w:val="22"/>
          <w:szCs w:val="22"/>
        </w:rPr>
        <w:t>/or</w:t>
      </w:r>
      <w:r w:rsidR="004869F8" w:rsidRPr="00572199">
        <w:rPr>
          <w:sz w:val="22"/>
          <w:szCs w:val="22"/>
        </w:rPr>
        <w:t xml:space="preserve"> sexuality through language and other communicative modes (</w:t>
      </w:r>
      <w:r w:rsidR="0077394A">
        <w:rPr>
          <w:sz w:val="22"/>
          <w:szCs w:val="22"/>
        </w:rPr>
        <w:t>such as images, color schemes, or</w:t>
      </w:r>
      <w:r w:rsidR="004869F8" w:rsidRPr="00572199">
        <w:rPr>
          <w:sz w:val="22"/>
          <w:szCs w:val="22"/>
        </w:rPr>
        <w:t xml:space="preserve"> gestures) by analyzing the text in terms of the concepts and frameworks covered in class lectures and readings. </w:t>
      </w:r>
    </w:p>
    <w:p w14:paraId="360D7115" w14:textId="48B6EA30" w:rsidR="00FD52D6" w:rsidRPr="00572199" w:rsidRDefault="004869F8" w:rsidP="00715EE5">
      <w:pPr>
        <w:rPr>
          <w:sz w:val="22"/>
          <w:szCs w:val="22"/>
        </w:rPr>
      </w:pPr>
      <w:r w:rsidRPr="00572199">
        <w:rPr>
          <w:sz w:val="22"/>
          <w:szCs w:val="22"/>
        </w:rPr>
        <w:t xml:space="preserve"> </w:t>
      </w:r>
    </w:p>
    <w:p w14:paraId="1F7BEEED" w14:textId="77777777" w:rsidR="00715EE5" w:rsidRPr="00572199" w:rsidRDefault="00715EE5" w:rsidP="00715EE5">
      <w:pPr>
        <w:rPr>
          <w:b/>
          <w:i/>
          <w:sz w:val="22"/>
          <w:szCs w:val="22"/>
        </w:rPr>
      </w:pPr>
      <w:r w:rsidRPr="00572199">
        <w:rPr>
          <w:b/>
          <w:i/>
          <w:sz w:val="22"/>
          <w:szCs w:val="22"/>
        </w:rPr>
        <w:t>Late/Missing Work</w:t>
      </w:r>
    </w:p>
    <w:p w14:paraId="7089C074" w14:textId="171D6D70" w:rsidR="00715EE5" w:rsidRPr="00572199" w:rsidRDefault="00715EE5" w:rsidP="00715EE5">
      <w:pPr>
        <w:rPr>
          <w:sz w:val="22"/>
          <w:szCs w:val="22"/>
        </w:rPr>
      </w:pPr>
      <w:r w:rsidRPr="00572199">
        <w:rPr>
          <w:sz w:val="22"/>
          <w:szCs w:val="22"/>
        </w:rPr>
        <w:t xml:space="preserve">Points will be deducted each day for any assignments submitted late. No assignment submitted later than </w:t>
      </w:r>
      <w:r w:rsidR="004F7121">
        <w:rPr>
          <w:sz w:val="22"/>
          <w:szCs w:val="22"/>
        </w:rPr>
        <w:t>a week</w:t>
      </w:r>
      <w:r w:rsidRPr="00572199">
        <w:rPr>
          <w:sz w:val="22"/>
          <w:szCs w:val="22"/>
        </w:rPr>
        <w:t xml:space="preserve"> past the assignment deadline</w:t>
      </w:r>
      <w:r w:rsidR="001D3126">
        <w:rPr>
          <w:sz w:val="22"/>
          <w:szCs w:val="22"/>
        </w:rPr>
        <w:t xml:space="preserve"> will be accepted</w:t>
      </w:r>
      <w:r w:rsidRPr="00572199">
        <w:rPr>
          <w:sz w:val="22"/>
          <w:szCs w:val="22"/>
        </w:rPr>
        <w:t>.</w:t>
      </w:r>
    </w:p>
    <w:p w14:paraId="6FA9117B" w14:textId="77777777" w:rsidR="00715EE5" w:rsidRPr="00572199" w:rsidRDefault="00715EE5" w:rsidP="00715EE5">
      <w:pPr>
        <w:rPr>
          <w:sz w:val="22"/>
          <w:szCs w:val="22"/>
        </w:rPr>
      </w:pPr>
    </w:p>
    <w:p w14:paraId="441098E4" w14:textId="77777777" w:rsidR="00715EE5" w:rsidRPr="00572199" w:rsidRDefault="00715EE5" w:rsidP="00715EE5">
      <w:pPr>
        <w:rPr>
          <w:b/>
          <w:i/>
          <w:sz w:val="22"/>
          <w:szCs w:val="22"/>
        </w:rPr>
      </w:pPr>
      <w:r w:rsidRPr="00572199">
        <w:rPr>
          <w:b/>
          <w:i/>
          <w:sz w:val="22"/>
          <w:szCs w:val="22"/>
        </w:rPr>
        <w:t>Honor Code</w:t>
      </w:r>
    </w:p>
    <w:p w14:paraId="58F77F5F" w14:textId="69855219" w:rsidR="00E8210F" w:rsidRPr="00572199" w:rsidRDefault="00715EE5" w:rsidP="00715EE5">
      <w:pPr>
        <w:rPr>
          <w:sz w:val="22"/>
          <w:szCs w:val="22"/>
        </w:rPr>
      </w:pPr>
      <w:r w:rsidRPr="00572199">
        <w:rPr>
          <w:sz w:val="22"/>
          <w:szCs w:val="22"/>
        </w:rPr>
        <w:t>Any instance of academic dishonesty</w:t>
      </w:r>
      <w:r w:rsidR="0077394A">
        <w:rPr>
          <w:sz w:val="22"/>
          <w:szCs w:val="22"/>
        </w:rPr>
        <w:t xml:space="preserve"> </w:t>
      </w:r>
      <w:r w:rsidRPr="00572199">
        <w:rPr>
          <w:sz w:val="22"/>
          <w:szCs w:val="22"/>
        </w:rPr>
        <w:t>will result in a grade of 0</w:t>
      </w:r>
      <w:r w:rsidR="00FD52D6" w:rsidRPr="00572199">
        <w:rPr>
          <w:sz w:val="22"/>
          <w:szCs w:val="22"/>
        </w:rPr>
        <w:t xml:space="preserve"> and may result in a failing grade for the course</w:t>
      </w:r>
      <w:r w:rsidRPr="00572199">
        <w:rPr>
          <w:sz w:val="22"/>
          <w:szCs w:val="22"/>
        </w:rPr>
        <w:t>.</w:t>
      </w:r>
      <w:r w:rsidR="00FD52D6" w:rsidRPr="00572199">
        <w:rPr>
          <w:sz w:val="22"/>
          <w:szCs w:val="22"/>
        </w:rPr>
        <w:t xml:space="preserve"> </w:t>
      </w:r>
      <w:r w:rsidRPr="00572199">
        <w:rPr>
          <w:sz w:val="22"/>
          <w:szCs w:val="22"/>
        </w:rPr>
        <w:t>For more information on Georgetown University’s Honor System, go to:</w:t>
      </w:r>
      <w:r w:rsidR="00FD52D6" w:rsidRPr="00572199">
        <w:rPr>
          <w:sz w:val="22"/>
          <w:szCs w:val="22"/>
        </w:rPr>
        <w:t xml:space="preserve"> </w:t>
      </w:r>
      <w:hyperlink r:id="rId8" w:history="1">
        <w:r w:rsidRPr="00572199">
          <w:rPr>
            <w:rStyle w:val="Hyperlink"/>
            <w:sz w:val="22"/>
            <w:szCs w:val="22"/>
          </w:rPr>
          <w:t>http://www.georgetown.edu/honor/</w:t>
        </w:r>
      </w:hyperlink>
      <w:r w:rsidR="00E8210F" w:rsidRPr="00572199">
        <w:rPr>
          <w:sz w:val="22"/>
          <w:szCs w:val="22"/>
        </w:rPr>
        <w:t xml:space="preserve"> </w:t>
      </w:r>
    </w:p>
    <w:p w14:paraId="406D2D3B" w14:textId="77777777" w:rsidR="00FD52D6" w:rsidRPr="00572199" w:rsidRDefault="00FD52D6">
      <w:pPr>
        <w:rPr>
          <w:sz w:val="22"/>
          <w:szCs w:val="22"/>
        </w:rPr>
      </w:pPr>
    </w:p>
    <w:p w14:paraId="488BCCAF" w14:textId="77777777" w:rsidR="00E8210F" w:rsidRPr="00572199" w:rsidRDefault="00E8210F">
      <w:pPr>
        <w:rPr>
          <w:b/>
          <w:i/>
          <w:sz w:val="22"/>
          <w:szCs w:val="22"/>
        </w:rPr>
      </w:pPr>
      <w:r w:rsidRPr="00572199">
        <w:rPr>
          <w:b/>
          <w:i/>
          <w:sz w:val="22"/>
          <w:szCs w:val="22"/>
        </w:rPr>
        <w:t>Grading</w:t>
      </w:r>
    </w:p>
    <w:p w14:paraId="36383DA7" w14:textId="77777777" w:rsidR="00E8210F" w:rsidRPr="00572199" w:rsidRDefault="00E8210F">
      <w:pPr>
        <w:rPr>
          <w:sz w:val="22"/>
          <w:szCs w:val="22"/>
        </w:rPr>
      </w:pPr>
      <w:r w:rsidRPr="00572199">
        <w:rPr>
          <w:sz w:val="22"/>
          <w:szCs w:val="22"/>
        </w:rPr>
        <w:t>The final grade will be calculated based on the following distribution of graded assignments:</w:t>
      </w:r>
    </w:p>
    <w:p w14:paraId="74EAA7BF" w14:textId="0830FBCD" w:rsidR="00466B6D" w:rsidRPr="00572199" w:rsidRDefault="00466B6D" w:rsidP="00466B6D">
      <w:pPr>
        <w:rPr>
          <w:sz w:val="22"/>
          <w:szCs w:val="22"/>
        </w:rPr>
      </w:pPr>
    </w:p>
    <w:p w14:paraId="5DBC15F8" w14:textId="0993891D" w:rsidR="00FD52D6" w:rsidRPr="00572199" w:rsidRDefault="004F7121">
      <w:pPr>
        <w:rPr>
          <w:sz w:val="22"/>
          <w:szCs w:val="22"/>
        </w:rPr>
      </w:pPr>
      <w:r>
        <w:rPr>
          <w:sz w:val="22"/>
          <w:szCs w:val="22"/>
        </w:rPr>
        <w:t>Reading Responses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24</w:t>
      </w:r>
      <w:r w:rsidR="00FD52D6" w:rsidRPr="00572199">
        <w:rPr>
          <w:sz w:val="22"/>
          <w:szCs w:val="22"/>
        </w:rPr>
        <w:t>%</w:t>
      </w:r>
    </w:p>
    <w:p w14:paraId="7D22A264" w14:textId="7027DFCF" w:rsidR="00FD52D6" w:rsidRPr="00572199" w:rsidRDefault="003E70D5">
      <w:pPr>
        <w:rPr>
          <w:sz w:val="22"/>
          <w:szCs w:val="22"/>
        </w:rPr>
      </w:pPr>
      <w:r w:rsidRPr="00572199">
        <w:rPr>
          <w:sz w:val="22"/>
          <w:szCs w:val="22"/>
        </w:rPr>
        <w:t>Discourse Analysis</w:t>
      </w:r>
      <w:r w:rsidR="007E6713">
        <w:rPr>
          <w:sz w:val="22"/>
          <w:szCs w:val="22"/>
        </w:rPr>
        <w:tab/>
      </w:r>
      <w:r w:rsidR="00B20458" w:rsidRPr="00572199">
        <w:rPr>
          <w:sz w:val="22"/>
          <w:szCs w:val="22"/>
        </w:rPr>
        <w:tab/>
      </w:r>
      <w:r w:rsidR="004F7121">
        <w:rPr>
          <w:sz w:val="22"/>
          <w:szCs w:val="22"/>
        </w:rPr>
        <w:tab/>
        <w:t>20</w:t>
      </w:r>
      <w:r w:rsidR="00E8210F" w:rsidRPr="00572199">
        <w:rPr>
          <w:sz w:val="22"/>
          <w:szCs w:val="22"/>
        </w:rPr>
        <w:t>%</w:t>
      </w:r>
    </w:p>
    <w:p w14:paraId="2D4BA054" w14:textId="66EA8266" w:rsidR="00E8210F" w:rsidRPr="00572199" w:rsidRDefault="00FD52D6">
      <w:pPr>
        <w:rPr>
          <w:sz w:val="22"/>
          <w:szCs w:val="22"/>
        </w:rPr>
      </w:pPr>
      <w:r w:rsidRPr="00572199">
        <w:rPr>
          <w:sz w:val="22"/>
          <w:szCs w:val="22"/>
        </w:rPr>
        <w:t>Critical Literature Re</w:t>
      </w:r>
      <w:r w:rsidR="004F7121">
        <w:rPr>
          <w:sz w:val="22"/>
          <w:szCs w:val="22"/>
        </w:rPr>
        <w:t>view</w:t>
      </w:r>
      <w:r w:rsidR="004F7121">
        <w:rPr>
          <w:sz w:val="22"/>
          <w:szCs w:val="22"/>
        </w:rPr>
        <w:tab/>
      </w:r>
      <w:r w:rsidR="004F7121">
        <w:rPr>
          <w:sz w:val="22"/>
          <w:szCs w:val="22"/>
        </w:rPr>
        <w:tab/>
        <w:t>10</w:t>
      </w:r>
      <w:r w:rsidRPr="00572199">
        <w:rPr>
          <w:sz w:val="22"/>
          <w:szCs w:val="22"/>
        </w:rPr>
        <w:t>%</w:t>
      </w:r>
      <w:r w:rsidR="00E8210F" w:rsidRPr="00572199">
        <w:rPr>
          <w:sz w:val="22"/>
          <w:szCs w:val="22"/>
        </w:rPr>
        <w:tab/>
      </w:r>
    </w:p>
    <w:p w14:paraId="421C1EE4" w14:textId="1DF10399" w:rsidR="000024FC" w:rsidRPr="00572199" w:rsidRDefault="00FD52D6">
      <w:pPr>
        <w:rPr>
          <w:sz w:val="22"/>
          <w:szCs w:val="22"/>
        </w:rPr>
      </w:pPr>
      <w:r w:rsidRPr="00572199">
        <w:rPr>
          <w:sz w:val="22"/>
          <w:szCs w:val="22"/>
        </w:rPr>
        <w:t>Media Presentation</w:t>
      </w:r>
      <w:r w:rsidRPr="00572199">
        <w:rPr>
          <w:sz w:val="22"/>
          <w:szCs w:val="22"/>
        </w:rPr>
        <w:tab/>
      </w:r>
      <w:r w:rsidRPr="00572199">
        <w:rPr>
          <w:sz w:val="22"/>
          <w:szCs w:val="22"/>
        </w:rPr>
        <w:tab/>
      </w:r>
      <w:r w:rsidR="004F7121">
        <w:rPr>
          <w:sz w:val="22"/>
          <w:szCs w:val="22"/>
        </w:rPr>
        <w:tab/>
        <w:t>10</w:t>
      </w:r>
      <w:r w:rsidRPr="00572199">
        <w:rPr>
          <w:sz w:val="22"/>
          <w:szCs w:val="22"/>
        </w:rPr>
        <w:t>%</w:t>
      </w:r>
    </w:p>
    <w:p w14:paraId="7CE68258" w14:textId="10EC3F17" w:rsidR="00E8210F" w:rsidRPr="00572199" w:rsidRDefault="003E70D5">
      <w:pPr>
        <w:rPr>
          <w:sz w:val="22"/>
          <w:szCs w:val="22"/>
        </w:rPr>
      </w:pPr>
      <w:r w:rsidRPr="00572199">
        <w:rPr>
          <w:sz w:val="22"/>
          <w:szCs w:val="22"/>
        </w:rPr>
        <w:t>Final Research Paper/</w:t>
      </w:r>
      <w:r w:rsidR="004F7121">
        <w:rPr>
          <w:sz w:val="22"/>
          <w:szCs w:val="22"/>
        </w:rPr>
        <w:t>Presentation</w:t>
      </w:r>
      <w:r w:rsidR="004F7121">
        <w:rPr>
          <w:sz w:val="22"/>
          <w:szCs w:val="22"/>
        </w:rPr>
        <w:tab/>
        <w:t>26</w:t>
      </w:r>
      <w:r w:rsidR="00E8210F" w:rsidRPr="00572199">
        <w:rPr>
          <w:sz w:val="22"/>
          <w:szCs w:val="22"/>
        </w:rPr>
        <w:t>%</w:t>
      </w:r>
    </w:p>
    <w:p w14:paraId="32235A5D" w14:textId="5CEC77FB" w:rsidR="00E8210F" w:rsidRPr="00572199" w:rsidRDefault="004F7121" w:rsidP="00D42284">
      <w:pPr>
        <w:rPr>
          <w:sz w:val="22"/>
          <w:szCs w:val="22"/>
        </w:rPr>
      </w:pPr>
      <w:r>
        <w:rPr>
          <w:sz w:val="22"/>
          <w:szCs w:val="22"/>
        </w:rPr>
        <w:t>Participation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</w:t>
      </w:r>
      <w:r w:rsidR="00E8210F" w:rsidRPr="00572199">
        <w:rPr>
          <w:sz w:val="22"/>
          <w:szCs w:val="22"/>
        </w:rPr>
        <w:t>%</w:t>
      </w:r>
    </w:p>
    <w:p w14:paraId="1E4DC5F4" w14:textId="77777777" w:rsidR="00E8210F" w:rsidRPr="00572199" w:rsidRDefault="00E8210F" w:rsidP="00E8210F">
      <w:pPr>
        <w:rPr>
          <w:sz w:val="22"/>
          <w:szCs w:val="22"/>
        </w:rPr>
      </w:pPr>
    </w:p>
    <w:p w14:paraId="4F1BE0AB" w14:textId="7D410129" w:rsidR="00A639AF" w:rsidRPr="00572199" w:rsidRDefault="00E8210F" w:rsidP="00057678">
      <w:pPr>
        <w:rPr>
          <w:b/>
          <w:sz w:val="22"/>
          <w:szCs w:val="22"/>
          <w:u w:val="single"/>
        </w:rPr>
      </w:pPr>
      <w:r w:rsidRPr="00572199">
        <w:rPr>
          <w:b/>
          <w:sz w:val="22"/>
          <w:szCs w:val="22"/>
          <w:u w:val="single"/>
        </w:rPr>
        <w:t xml:space="preserve"> </w:t>
      </w:r>
      <w:r w:rsidR="00191AE8" w:rsidRPr="00572199">
        <w:rPr>
          <w:b/>
          <w:sz w:val="22"/>
          <w:szCs w:val="22"/>
        </w:rPr>
        <w:br w:type="page"/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008"/>
        <w:gridCol w:w="1980"/>
        <w:gridCol w:w="4500"/>
        <w:gridCol w:w="2250"/>
      </w:tblGrid>
      <w:tr w:rsidR="0077394A" w:rsidRPr="00572199" w14:paraId="20A46E03" w14:textId="77777777" w:rsidTr="00CC6761">
        <w:tc>
          <w:tcPr>
            <w:tcW w:w="97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4913C" w14:textId="6EC14EBA" w:rsidR="0077394A" w:rsidRPr="00572199" w:rsidRDefault="0077394A" w:rsidP="007739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SCHEDULE OF READINGS AND ASSIGNMENTS</w:t>
            </w:r>
          </w:p>
        </w:tc>
      </w:tr>
      <w:tr w:rsidR="00A639AF" w:rsidRPr="00572199" w14:paraId="3B59AA9C" w14:textId="77777777" w:rsidTr="004F7121"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9579042" w14:textId="2CBA0DC0" w:rsidR="00A639AF" w:rsidRPr="00572199" w:rsidRDefault="00A639AF" w:rsidP="00E50DF1">
            <w:pPr>
              <w:jc w:val="center"/>
              <w:rPr>
                <w:b/>
                <w:sz w:val="22"/>
                <w:szCs w:val="22"/>
              </w:rPr>
            </w:pPr>
            <w:r w:rsidRPr="0057219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463A2D" w14:textId="78AE5849" w:rsidR="00A639AF" w:rsidRPr="00572199" w:rsidRDefault="00A639AF" w:rsidP="00057678">
            <w:pPr>
              <w:rPr>
                <w:b/>
                <w:sz w:val="22"/>
                <w:szCs w:val="22"/>
              </w:rPr>
            </w:pPr>
            <w:r w:rsidRPr="00572199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32901D" w14:textId="1B467B95" w:rsidR="00A639AF" w:rsidRPr="00572199" w:rsidRDefault="00A639AF" w:rsidP="00057678">
            <w:pPr>
              <w:rPr>
                <w:b/>
                <w:sz w:val="22"/>
                <w:szCs w:val="22"/>
              </w:rPr>
            </w:pPr>
            <w:r w:rsidRPr="00572199">
              <w:rPr>
                <w:b/>
                <w:sz w:val="22"/>
                <w:szCs w:val="22"/>
              </w:rPr>
              <w:t>Readings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CF721E" w14:textId="0D2AD10E" w:rsidR="00A639AF" w:rsidRPr="00572199" w:rsidRDefault="001E1764" w:rsidP="00057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Assignments, Notes</w:t>
            </w:r>
          </w:p>
        </w:tc>
      </w:tr>
      <w:tr w:rsidR="00A639AF" w:rsidRPr="00572199" w14:paraId="71972BDD" w14:textId="77777777" w:rsidTr="004F7121"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F307F9" w14:textId="5E7F1A91" w:rsidR="00A639AF" w:rsidRPr="00572199" w:rsidRDefault="004F7121" w:rsidP="00E50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6/6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CB79" w14:textId="21B2E435" w:rsidR="00A639AF" w:rsidRPr="00572199" w:rsidRDefault="00A639AF" w:rsidP="00690D56">
            <w:pPr>
              <w:rPr>
                <w:sz w:val="22"/>
                <w:szCs w:val="22"/>
              </w:rPr>
            </w:pPr>
            <w:r w:rsidRPr="00572199">
              <w:rPr>
                <w:sz w:val="22"/>
                <w:szCs w:val="22"/>
              </w:rPr>
              <w:t>Introduction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D013" w14:textId="0E51A749" w:rsidR="00A639AF" w:rsidRPr="00572199" w:rsidRDefault="00E3755D" w:rsidP="00F41238">
            <w:pPr>
              <w:rPr>
                <w:sz w:val="22"/>
                <w:szCs w:val="22"/>
              </w:rPr>
            </w:pPr>
            <w:r w:rsidRPr="00572199">
              <w:rPr>
                <w:sz w:val="22"/>
                <w:szCs w:val="22"/>
              </w:rPr>
              <w:t>Distribute s</w:t>
            </w:r>
            <w:r w:rsidR="00A639AF" w:rsidRPr="00572199">
              <w:rPr>
                <w:sz w:val="22"/>
                <w:szCs w:val="22"/>
              </w:rPr>
              <w:t>yllabus</w:t>
            </w:r>
            <w:r w:rsidR="001D3126">
              <w:rPr>
                <w:sz w:val="22"/>
                <w:szCs w:val="22"/>
              </w:rPr>
              <w:t xml:space="preserve">, </w:t>
            </w:r>
            <w:r w:rsidR="00F41238">
              <w:rPr>
                <w:sz w:val="22"/>
                <w:szCs w:val="22"/>
              </w:rPr>
              <w:t>Course Intro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CA5121" w14:textId="05B866F0" w:rsidR="00A639AF" w:rsidRPr="001E1764" w:rsidRDefault="00F41238" w:rsidP="00057678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RR instructions</w:t>
            </w:r>
          </w:p>
        </w:tc>
      </w:tr>
      <w:tr w:rsidR="00A639AF" w:rsidRPr="007E0D45" w14:paraId="1E605AA9" w14:textId="77777777" w:rsidTr="004F7121"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7AA50F" w14:textId="07D39A0D" w:rsidR="00A639AF" w:rsidRPr="00572199" w:rsidRDefault="00CC1DF8" w:rsidP="004F7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690D56">
              <w:rPr>
                <w:sz w:val="22"/>
                <w:szCs w:val="22"/>
              </w:rPr>
              <w:t xml:space="preserve"> </w:t>
            </w:r>
            <w:r w:rsidR="004F7121">
              <w:rPr>
                <w:sz w:val="22"/>
                <w:szCs w:val="22"/>
              </w:rPr>
              <w:t>6/7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75E9" w14:textId="77777777" w:rsidR="004F7121" w:rsidRDefault="00690D56" w:rsidP="00057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 Constructs</w:t>
            </w:r>
            <w:r w:rsidR="004F7121">
              <w:rPr>
                <w:sz w:val="22"/>
                <w:szCs w:val="22"/>
              </w:rPr>
              <w:t>,</w:t>
            </w:r>
          </w:p>
          <w:p w14:paraId="2F1B2052" w14:textId="1B2DBE96" w:rsidR="00A639AF" w:rsidRPr="00572199" w:rsidRDefault="004F7121" w:rsidP="00057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Early Work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892BA" w14:textId="77777777" w:rsidR="00A639AF" w:rsidRDefault="00A639AF" w:rsidP="00057678">
            <w:pPr>
              <w:rPr>
                <w:sz w:val="22"/>
                <w:szCs w:val="22"/>
              </w:rPr>
            </w:pPr>
            <w:r w:rsidRPr="00572199">
              <w:rPr>
                <w:sz w:val="22"/>
                <w:szCs w:val="22"/>
              </w:rPr>
              <w:t>Eckert and McConnell-Ginet – Constructing, deconstructing, reconstructing gender</w:t>
            </w:r>
          </w:p>
          <w:p w14:paraId="3EB3A489" w14:textId="437357B4" w:rsidR="004F7121" w:rsidRPr="00572199" w:rsidRDefault="00F41238" w:rsidP="00057678">
            <w:pPr>
              <w:rPr>
                <w:sz w:val="22"/>
                <w:szCs w:val="22"/>
              </w:rPr>
            </w:pPr>
            <w:r w:rsidRPr="00F41238">
              <w:rPr>
                <w:b/>
                <w:sz w:val="22"/>
                <w:szCs w:val="22"/>
              </w:rPr>
              <w:t xml:space="preserve">LWP </w:t>
            </w:r>
            <w:r>
              <w:rPr>
                <w:sz w:val="22"/>
                <w:szCs w:val="22"/>
              </w:rPr>
              <w:t xml:space="preserve">– Preface, </w:t>
            </w:r>
            <w:r w:rsidR="004F7121">
              <w:rPr>
                <w:sz w:val="22"/>
                <w:szCs w:val="22"/>
              </w:rPr>
              <w:t>Part 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0CEA8F" w14:textId="77777777" w:rsidR="001E1764" w:rsidRDefault="008E3F5F" w:rsidP="006F62B8">
            <w:pPr>
              <w:rPr>
                <w:b/>
                <w:sz w:val="22"/>
                <w:szCs w:val="22"/>
              </w:rPr>
            </w:pPr>
            <w:r w:rsidRPr="007E0D45">
              <w:rPr>
                <w:b/>
                <w:sz w:val="22"/>
                <w:szCs w:val="22"/>
              </w:rPr>
              <w:t>RR1</w:t>
            </w:r>
          </w:p>
          <w:p w14:paraId="0CBBDED5" w14:textId="608F5926" w:rsidR="00F41238" w:rsidRPr="00F41238" w:rsidRDefault="00F41238" w:rsidP="006F62B8">
            <w:pPr>
              <w:rPr>
                <w:b/>
                <w:sz w:val="22"/>
                <w:szCs w:val="22"/>
              </w:rPr>
            </w:pPr>
            <w:r w:rsidRPr="007E0D45">
              <w:rPr>
                <w:sz w:val="22"/>
                <w:szCs w:val="22"/>
              </w:rPr>
              <w:t>Media Pres sign</w:t>
            </w:r>
            <w:r>
              <w:rPr>
                <w:sz w:val="22"/>
                <w:szCs w:val="22"/>
              </w:rPr>
              <w:t>-</w:t>
            </w:r>
            <w:r w:rsidRPr="007E0D45">
              <w:rPr>
                <w:sz w:val="22"/>
                <w:szCs w:val="22"/>
              </w:rPr>
              <w:t>up</w:t>
            </w:r>
          </w:p>
        </w:tc>
      </w:tr>
      <w:tr w:rsidR="00A639AF" w:rsidRPr="007E0D45" w14:paraId="63249586" w14:textId="77777777" w:rsidTr="004F7121"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82D198" w14:textId="364E25F1" w:rsidR="00A639AF" w:rsidRPr="00572199" w:rsidRDefault="004F7121" w:rsidP="00E50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6/8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AA02" w14:textId="4DAB18A0" w:rsidR="00A639AF" w:rsidRPr="00572199" w:rsidRDefault="00A639AF" w:rsidP="00690D56">
            <w:pPr>
              <w:rPr>
                <w:sz w:val="22"/>
                <w:szCs w:val="22"/>
              </w:rPr>
            </w:pPr>
            <w:r w:rsidRPr="00572199">
              <w:rPr>
                <w:sz w:val="22"/>
                <w:szCs w:val="22"/>
              </w:rPr>
              <w:t xml:space="preserve">Early Work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D6E1" w14:textId="28412154" w:rsidR="00A639AF" w:rsidRPr="00572199" w:rsidRDefault="00A639AF" w:rsidP="00F41238">
            <w:pPr>
              <w:rPr>
                <w:sz w:val="22"/>
                <w:szCs w:val="22"/>
              </w:rPr>
            </w:pPr>
            <w:r w:rsidRPr="00572199">
              <w:rPr>
                <w:b/>
                <w:sz w:val="22"/>
                <w:szCs w:val="22"/>
              </w:rPr>
              <w:t>LWP</w:t>
            </w:r>
            <w:r w:rsidRPr="00572199">
              <w:rPr>
                <w:sz w:val="22"/>
                <w:szCs w:val="22"/>
              </w:rPr>
              <w:t xml:space="preserve"> – </w:t>
            </w:r>
            <w:r w:rsidR="00F41238">
              <w:rPr>
                <w:sz w:val="22"/>
                <w:szCs w:val="22"/>
              </w:rPr>
              <w:t xml:space="preserve">Part 2, </w:t>
            </w:r>
            <w:r w:rsidR="00F41238" w:rsidRPr="00572199">
              <w:rPr>
                <w:sz w:val="22"/>
                <w:szCs w:val="22"/>
              </w:rPr>
              <w:t xml:space="preserve">Commentaries by Bucholtz, </w:t>
            </w:r>
            <w:r w:rsidR="00F41238">
              <w:rPr>
                <w:sz w:val="22"/>
                <w:szCs w:val="22"/>
              </w:rPr>
              <w:t>Eckert, and 3</w:t>
            </w:r>
            <w:r w:rsidR="00F41238" w:rsidRPr="00572199">
              <w:rPr>
                <w:sz w:val="22"/>
                <w:szCs w:val="22"/>
              </w:rPr>
              <w:t xml:space="preserve"> others of your choice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5572DE" w14:textId="791208FF" w:rsidR="00A639AF" w:rsidRPr="007E0D45" w:rsidRDefault="00F41238" w:rsidP="001D3126">
            <w:pPr>
              <w:rPr>
                <w:sz w:val="22"/>
                <w:szCs w:val="22"/>
              </w:rPr>
            </w:pPr>
            <w:r w:rsidRPr="007E0D45">
              <w:rPr>
                <w:b/>
                <w:sz w:val="22"/>
                <w:szCs w:val="22"/>
              </w:rPr>
              <w:t>RR2</w:t>
            </w:r>
          </w:p>
        </w:tc>
      </w:tr>
      <w:tr w:rsidR="00A639AF" w:rsidRPr="007E0D45" w14:paraId="3E4C6C2D" w14:textId="77777777" w:rsidTr="00F41238"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558754" w14:textId="0AA35E63" w:rsidR="00A639AF" w:rsidRPr="00572199" w:rsidRDefault="004F7121" w:rsidP="00E50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6/9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7B49" w14:textId="4AA2E0BE" w:rsidR="00A639AF" w:rsidRPr="00572199" w:rsidRDefault="00F41238" w:rsidP="00057678">
            <w:pPr>
              <w:rPr>
                <w:sz w:val="22"/>
                <w:szCs w:val="22"/>
              </w:rPr>
            </w:pPr>
            <w:r w:rsidRPr="00572199">
              <w:rPr>
                <w:sz w:val="22"/>
                <w:szCs w:val="22"/>
              </w:rPr>
              <w:t>Gender as Cultural Difference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300D7" w14:textId="77777777" w:rsidR="00A639AF" w:rsidRDefault="00F41238" w:rsidP="00F41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Maltz and Borker 1982 – A cultural approach to male-female communication</w:t>
            </w:r>
          </w:p>
          <w:p w14:paraId="40C743DC" w14:textId="45007B38" w:rsidR="00F41238" w:rsidRPr="00572199" w:rsidRDefault="00F41238" w:rsidP="00F41238">
            <w:pPr>
              <w:rPr>
                <w:sz w:val="22"/>
                <w:szCs w:val="22"/>
              </w:rPr>
            </w:pPr>
            <w:r w:rsidRPr="00572199">
              <w:rPr>
                <w:b/>
                <w:sz w:val="22"/>
                <w:szCs w:val="22"/>
              </w:rPr>
              <w:t>YJDU</w:t>
            </w:r>
            <w:r w:rsidRPr="00572199">
              <w:rPr>
                <w:sz w:val="22"/>
                <w:szCs w:val="22"/>
              </w:rPr>
              <w:t xml:space="preserve"> – Preface – Chapter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832C6F" w14:textId="430F4817" w:rsidR="00A639AF" w:rsidRPr="00F41238" w:rsidRDefault="00F41238" w:rsidP="00057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 Directions</w:t>
            </w:r>
          </w:p>
        </w:tc>
      </w:tr>
      <w:tr w:rsidR="00F41238" w:rsidRPr="007E0D45" w14:paraId="73E7CA79" w14:textId="77777777" w:rsidTr="00F41238">
        <w:tc>
          <w:tcPr>
            <w:tcW w:w="9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14:paraId="732BD719" w14:textId="77777777" w:rsidR="00F41238" w:rsidRPr="007E0D45" w:rsidRDefault="00F41238" w:rsidP="00057678">
            <w:pPr>
              <w:rPr>
                <w:b/>
                <w:sz w:val="22"/>
                <w:szCs w:val="22"/>
              </w:rPr>
            </w:pPr>
          </w:p>
        </w:tc>
      </w:tr>
      <w:tr w:rsidR="00A639AF" w:rsidRPr="007E0D45" w14:paraId="49083ADB" w14:textId="77777777" w:rsidTr="004F7121"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DEC9A0" w14:textId="01977E37" w:rsidR="00A639AF" w:rsidRPr="00572199" w:rsidRDefault="004F7121" w:rsidP="00E50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6/13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B958" w14:textId="2C39BC53" w:rsidR="00A639AF" w:rsidRPr="00572199" w:rsidRDefault="00F41238" w:rsidP="00057678">
            <w:pPr>
              <w:rPr>
                <w:sz w:val="22"/>
                <w:szCs w:val="22"/>
              </w:rPr>
            </w:pPr>
            <w:r w:rsidRPr="00572199">
              <w:rPr>
                <w:sz w:val="22"/>
                <w:szCs w:val="22"/>
              </w:rPr>
              <w:t>Gender as Cultural Difference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BDB2" w14:textId="77777777" w:rsidR="00F41238" w:rsidRDefault="00F41238" w:rsidP="00F41238">
            <w:pPr>
              <w:rPr>
                <w:sz w:val="22"/>
                <w:szCs w:val="22"/>
              </w:rPr>
            </w:pPr>
            <w:r w:rsidRPr="00452F7A">
              <w:rPr>
                <w:b/>
                <w:sz w:val="22"/>
                <w:szCs w:val="22"/>
              </w:rPr>
              <w:t xml:space="preserve">YJDU </w:t>
            </w:r>
            <w:r>
              <w:rPr>
                <w:sz w:val="22"/>
                <w:szCs w:val="22"/>
              </w:rPr>
              <w:t>– Chapters 4-7</w:t>
            </w:r>
          </w:p>
          <w:p w14:paraId="3E7843FA" w14:textId="33201342" w:rsidR="00DB3667" w:rsidRPr="00572199" w:rsidRDefault="00F41238" w:rsidP="00F41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Troemel-Ploetz – Selling the apolitical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D4B3F3" w14:textId="7FE01152" w:rsidR="00A639AF" w:rsidRPr="007E0D45" w:rsidRDefault="00F41238" w:rsidP="00057678">
            <w:pPr>
              <w:rPr>
                <w:sz w:val="22"/>
                <w:szCs w:val="22"/>
              </w:rPr>
            </w:pPr>
            <w:r w:rsidRPr="007E0D45">
              <w:rPr>
                <w:b/>
                <w:sz w:val="22"/>
                <w:szCs w:val="22"/>
              </w:rPr>
              <w:t>RR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A639AF" w:rsidRPr="007E0D45" w14:paraId="5EEBB0F3" w14:textId="77777777" w:rsidTr="004F7121"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C6CBA2" w14:textId="28E7C4A0" w:rsidR="00A639AF" w:rsidRPr="00572199" w:rsidRDefault="00CC1DF8" w:rsidP="004F7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690D56">
              <w:rPr>
                <w:sz w:val="22"/>
                <w:szCs w:val="22"/>
              </w:rPr>
              <w:t xml:space="preserve"> </w:t>
            </w:r>
            <w:r w:rsidR="004F7121">
              <w:rPr>
                <w:sz w:val="22"/>
                <w:szCs w:val="22"/>
              </w:rPr>
              <w:t>6/14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EB27" w14:textId="567AD3E7" w:rsidR="00A639AF" w:rsidRPr="00572199" w:rsidRDefault="00F41238" w:rsidP="00057678">
            <w:pPr>
              <w:rPr>
                <w:sz w:val="22"/>
                <w:szCs w:val="22"/>
              </w:rPr>
            </w:pPr>
            <w:r w:rsidRPr="00572199">
              <w:rPr>
                <w:sz w:val="22"/>
                <w:szCs w:val="22"/>
              </w:rPr>
              <w:t>Turn-taking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35B5D" w14:textId="77777777" w:rsidR="00C75A9C" w:rsidRDefault="00F41238" w:rsidP="00057678">
            <w:pPr>
              <w:rPr>
                <w:sz w:val="22"/>
                <w:szCs w:val="22"/>
              </w:rPr>
            </w:pPr>
            <w:r w:rsidRPr="00572199">
              <w:rPr>
                <w:sz w:val="22"/>
                <w:szCs w:val="22"/>
              </w:rPr>
              <w:t>Coates – Gossip revisited</w:t>
            </w:r>
          </w:p>
          <w:p w14:paraId="44102730" w14:textId="531BADC2" w:rsidR="00F41238" w:rsidRPr="00572199" w:rsidRDefault="00F41238" w:rsidP="00057678">
            <w:pPr>
              <w:rPr>
                <w:sz w:val="22"/>
                <w:szCs w:val="22"/>
              </w:rPr>
            </w:pPr>
            <w:r w:rsidRPr="00572199">
              <w:rPr>
                <w:sz w:val="22"/>
                <w:szCs w:val="22"/>
              </w:rPr>
              <w:t>Coates – One-at-a-time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BC2532" w14:textId="33B6226C" w:rsidR="00A639AF" w:rsidRPr="007E0D45" w:rsidRDefault="00E3755D" w:rsidP="00057678">
            <w:pPr>
              <w:rPr>
                <w:b/>
                <w:sz w:val="22"/>
                <w:szCs w:val="22"/>
              </w:rPr>
            </w:pPr>
            <w:r w:rsidRPr="007E0D45">
              <w:rPr>
                <w:b/>
                <w:sz w:val="22"/>
                <w:szCs w:val="22"/>
              </w:rPr>
              <w:t>RR</w:t>
            </w:r>
            <w:r w:rsidR="00F41238">
              <w:rPr>
                <w:b/>
                <w:sz w:val="22"/>
                <w:szCs w:val="22"/>
              </w:rPr>
              <w:t>4</w:t>
            </w:r>
          </w:p>
        </w:tc>
      </w:tr>
      <w:tr w:rsidR="00F41238" w:rsidRPr="007E0D45" w14:paraId="7CB5E21C" w14:textId="77777777" w:rsidTr="004F7121"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F0468D" w14:textId="61E98EFC" w:rsidR="00F41238" w:rsidRPr="00572199" w:rsidRDefault="00F41238" w:rsidP="00E50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6/15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F54C2" w14:textId="6F5EF422" w:rsidR="00F41238" w:rsidRPr="00572199" w:rsidRDefault="00F41238" w:rsidP="00057678">
            <w:pPr>
              <w:rPr>
                <w:sz w:val="22"/>
                <w:szCs w:val="22"/>
              </w:rPr>
            </w:pPr>
            <w:r w:rsidRPr="00572199">
              <w:rPr>
                <w:sz w:val="22"/>
                <w:szCs w:val="22"/>
              </w:rPr>
              <w:t>Politeness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5F87" w14:textId="33EB93E4" w:rsidR="00F41238" w:rsidRPr="00572199" w:rsidRDefault="00F41238" w:rsidP="00F41238">
            <w:pPr>
              <w:rPr>
                <w:sz w:val="22"/>
                <w:szCs w:val="22"/>
              </w:rPr>
            </w:pPr>
            <w:r w:rsidRPr="00572199">
              <w:rPr>
                <w:sz w:val="22"/>
                <w:szCs w:val="22"/>
              </w:rPr>
              <w:t>Holmes – What a lovely tie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A4C211" w14:textId="09F0D412" w:rsidR="00F41238" w:rsidRPr="00F41238" w:rsidRDefault="00F41238" w:rsidP="00057678">
            <w:pPr>
              <w:rPr>
                <w:b/>
                <w:sz w:val="22"/>
                <w:szCs w:val="22"/>
              </w:rPr>
            </w:pPr>
            <w:r w:rsidRPr="007E0D45">
              <w:rPr>
                <w:sz w:val="22"/>
                <w:szCs w:val="22"/>
              </w:rPr>
              <w:t>Transcription lesson</w:t>
            </w:r>
          </w:p>
        </w:tc>
      </w:tr>
      <w:tr w:rsidR="00F41238" w:rsidRPr="007E0D45" w14:paraId="1ABF3A7F" w14:textId="77777777" w:rsidTr="00D40E2B"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B04780" w14:textId="4524D389" w:rsidR="00F41238" w:rsidRPr="00572199" w:rsidRDefault="00F41238" w:rsidP="00452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6/16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F91A" w14:textId="2C1D0AC3" w:rsidR="00F41238" w:rsidRPr="00572199" w:rsidRDefault="00F41238" w:rsidP="00057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Humor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43049" w14:textId="7AD3D847" w:rsidR="00F41238" w:rsidRDefault="00F41238" w:rsidP="00691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Mullany – Gender, politeness, humor at work</w:t>
            </w:r>
          </w:p>
          <w:p w14:paraId="0C68411A" w14:textId="415B881B" w:rsidR="00F41238" w:rsidRPr="00572199" w:rsidRDefault="00F41238" w:rsidP="00463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Humor Reading TBA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963014" w14:textId="55F0DF1E" w:rsidR="00F41238" w:rsidRPr="00F41238" w:rsidRDefault="00F41238" w:rsidP="00F41238">
            <w:pPr>
              <w:rPr>
                <w:b/>
                <w:sz w:val="22"/>
                <w:szCs w:val="22"/>
              </w:rPr>
            </w:pPr>
            <w:r w:rsidRPr="00F41238">
              <w:rPr>
                <w:b/>
                <w:sz w:val="22"/>
                <w:szCs w:val="22"/>
              </w:rPr>
              <w:t>RR5</w:t>
            </w:r>
          </w:p>
        </w:tc>
      </w:tr>
      <w:tr w:rsidR="00D40E2B" w:rsidRPr="007E0D45" w14:paraId="2186C85C" w14:textId="77777777" w:rsidTr="00D40E2B">
        <w:tc>
          <w:tcPr>
            <w:tcW w:w="9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14:paraId="3A63CB9B" w14:textId="77777777" w:rsidR="00D40E2B" w:rsidRPr="007E0D45" w:rsidRDefault="00D40E2B" w:rsidP="00057678">
            <w:pPr>
              <w:rPr>
                <w:b/>
                <w:sz w:val="22"/>
                <w:szCs w:val="22"/>
              </w:rPr>
            </w:pPr>
          </w:p>
        </w:tc>
      </w:tr>
      <w:tr w:rsidR="001B1231" w:rsidRPr="007E0D45" w14:paraId="7F97803E" w14:textId="77777777" w:rsidTr="004F7121"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33DBB3" w14:textId="50C2C133" w:rsidR="001B1231" w:rsidRPr="00572199" w:rsidRDefault="001B1231" w:rsidP="00452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6/20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3965" w14:textId="658D2503" w:rsidR="001B1231" w:rsidRPr="00572199" w:rsidRDefault="001B1231" w:rsidP="00057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Narrative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1C019" w14:textId="77777777" w:rsidR="001B1231" w:rsidRDefault="001B1231" w:rsidP="001B1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Johnstone – Community and contest</w:t>
            </w:r>
          </w:p>
          <w:p w14:paraId="4F26A996" w14:textId="0379D714" w:rsidR="001B1231" w:rsidRPr="00692040" w:rsidRDefault="001B1231" w:rsidP="00F41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Zimman – Other kind of coming out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44CDCA" w14:textId="52EDEFC9" w:rsidR="001B1231" w:rsidRPr="007E0D45" w:rsidRDefault="001B1231" w:rsidP="00057678">
            <w:pPr>
              <w:rPr>
                <w:b/>
                <w:sz w:val="22"/>
                <w:szCs w:val="22"/>
              </w:rPr>
            </w:pPr>
            <w:r w:rsidRPr="00F41238">
              <w:rPr>
                <w:b/>
                <w:sz w:val="22"/>
                <w:szCs w:val="22"/>
              </w:rPr>
              <w:t>RR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1B1231" w:rsidRPr="007E0D45" w14:paraId="35472603" w14:textId="77777777" w:rsidTr="004F7121"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1FBDC3" w14:textId="2AD2ABE7" w:rsidR="001B1231" w:rsidRPr="00572199" w:rsidRDefault="001B1231" w:rsidP="00452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 6/21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FC9C4" w14:textId="2ED40E7A" w:rsidR="001B1231" w:rsidRPr="00572199" w:rsidRDefault="001B1231" w:rsidP="00057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Masculinity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179E" w14:textId="77777777" w:rsidR="001B1231" w:rsidRDefault="001B1231" w:rsidP="009A3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Kiesling – Power and the language of men</w:t>
            </w:r>
          </w:p>
          <w:p w14:paraId="46AC3BA5" w14:textId="28F64970" w:rsidR="001B1231" w:rsidRPr="00572199" w:rsidRDefault="001B1231" w:rsidP="009A3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Kiesling – Dude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F4F7F1" w14:textId="77777777" w:rsidR="001B1231" w:rsidRPr="007E0D45" w:rsidRDefault="001B1231" w:rsidP="001B1231">
            <w:pPr>
              <w:rPr>
                <w:b/>
                <w:sz w:val="22"/>
                <w:szCs w:val="22"/>
              </w:rPr>
            </w:pPr>
            <w:r w:rsidRPr="007E0D45">
              <w:rPr>
                <w:b/>
                <w:sz w:val="22"/>
                <w:szCs w:val="22"/>
              </w:rPr>
              <w:t xml:space="preserve">Transcript DUE </w:t>
            </w:r>
          </w:p>
          <w:p w14:paraId="587901CE" w14:textId="2BBE9B4B" w:rsidR="001B1231" w:rsidRPr="007E0D45" w:rsidRDefault="001B1231" w:rsidP="001D3126">
            <w:pPr>
              <w:rPr>
                <w:sz w:val="22"/>
                <w:szCs w:val="22"/>
              </w:rPr>
            </w:pPr>
            <w:r w:rsidRPr="007E0D45">
              <w:rPr>
                <w:sz w:val="22"/>
                <w:szCs w:val="22"/>
              </w:rPr>
              <w:t>Data workshop</w:t>
            </w:r>
          </w:p>
        </w:tc>
      </w:tr>
      <w:tr w:rsidR="001B1231" w:rsidRPr="007E0D45" w14:paraId="1BD03123" w14:textId="77777777" w:rsidTr="004F7121"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ED57D1" w14:textId="40D6A363" w:rsidR="001B1231" w:rsidRPr="00572199" w:rsidRDefault="001B1231" w:rsidP="00E50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6/22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E98D6" w14:textId="6AABE940" w:rsidR="001B1231" w:rsidRPr="00572199" w:rsidRDefault="001B1231" w:rsidP="00057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Indexicality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02825" w14:textId="77777777" w:rsidR="001B1231" w:rsidRDefault="001B1231" w:rsidP="001B1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Ochs – Indexing gender</w:t>
            </w:r>
          </w:p>
          <w:p w14:paraId="254A0E27" w14:textId="2BDC22EB" w:rsidR="001B1231" w:rsidRPr="00690D56" w:rsidRDefault="001B1231" w:rsidP="00690D56">
            <w:pPr>
              <w:rPr>
                <w:sz w:val="22"/>
                <w:szCs w:val="22"/>
              </w:rPr>
            </w:pPr>
            <w:r w:rsidRPr="00572199">
              <w:rPr>
                <w:sz w:val="22"/>
                <w:szCs w:val="22"/>
              </w:rPr>
              <w:t>Cameron – Young men’s talk and the construction of heterosexual masculinity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0DC1CA" w14:textId="03F5E106" w:rsidR="001B1231" w:rsidRPr="007E0D45" w:rsidRDefault="001B1231" w:rsidP="00057678">
            <w:pPr>
              <w:rPr>
                <w:sz w:val="22"/>
                <w:szCs w:val="22"/>
              </w:rPr>
            </w:pPr>
            <w:r w:rsidRPr="00F41238">
              <w:rPr>
                <w:b/>
                <w:sz w:val="22"/>
                <w:szCs w:val="22"/>
              </w:rPr>
              <w:t>RR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1B1231" w:rsidRPr="007E0D45" w14:paraId="15FCE3B3" w14:textId="77777777" w:rsidTr="001B1231"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F9BB86" w14:textId="09C11927" w:rsidR="001B1231" w:rsidRPr="00572199" w:rsidRDefault="001B1231" w:rsidP="00E50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6/23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B2D0" w14:textId="0A625062" w:rsidR="001B1231" w:rsidRPr="00572199" w:rsidRDefault="001B1231" w:rsidP="00057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</w:t>
            </w:r>
            <w:r w:rsidR="004B7F9D">
              <w:rPr>
                <w:sz w:val="22"/>
                <w:szCs w:val="22"/>
              </w:rPr>
              <w:t xml:space="preserve"> Representations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92B3" w14:textId="69EE12EE" w:rsidR="001B1231" w:rsidRPr="00572199" w:rsidRDefault="001B1231" w:rsidP="00FB0AD1">
            <w:pPr>
              <w:rPr>
                <w:sz w:val="22"/>
                <w:szCs w:val="22"/>
              </w:rPr>
            </w:pPr>
            <w:r w:rsidRPr="00572199">
              <w:rPr>
                <w:sz w:val="22"/>
                <w:szCs w:val="22"/>
              </w:rPr>
              <w:t xml:space="preserve">Talbot – Synthetic sisterhood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33E59F" w14:textId="5B5525E8" w:rsidR="001B1231" w:rsidRPr="007E0D45" w:rsidRDefault="001B1231" w:rsidP="00057678">
            <w:pPr>
              <w:rPr>
                <w:sz w:val="22"/>
                <w:szCs w:val="22"/>
              </w:rPr>
            </w:pPr>
            <w:r w:rsidRPr="007E0D45">
              <w:rPr>
                <w:b/>
                <w:sz w:val="22"/>
                <w:szCs w:val="22"/>
              </w:rPr>
              <w:t>Discourse Analysis DUE</w:t>
            </w:r>
          </w:p>
        </w:tc>
      </w:tr>
      <w:tr w:rsidR="001B1231" w:rsidRPr="007E0D45" w14:paraId="29BA38A5" w14:textId="77777777" w:rsidTr="001B1231">
        <w:tc>
          <w:tcPr>
            <w:tcW w:w="9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14:paraId="4CAD26E7" w14:textId="77777777" w:rsidR="001B1231" w:rsidRPr="007E0D45" w:rsidRDefault="001B1231" w:rsidP="001D3126">
            <w:pPr>
              <w:rPr>
                <w:b/>
                <w:sz w:val="22"/>
                <w:szCs w:val="22"/>
              </w:rPr>
            </w:pPr>
          </w:p>
        </w:tc>
      </w:tr>
      <w:tr w:rsidR="001B1231" w:rsidRPr="007E0D45" w14:paraId="0DC4E737" w14:textId="77777777" w:rsidTr="004F7121"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B802D3" w14:textId="316650DE" w:rsidR="001B1231" w:rsidRPr="00572199" w:rsidRDefault="001B1231" w:rsidP="00E50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6/27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EA51" w14:textId="77777777" w:rsidR="004B7F9D" w:rsidRDefault="004B7F9D" w:rsidP="00463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TV and </w:t>
            </w:r>
          </w:p>
          <w:p w14:paraId="2B51265B" w14:textId="59ABAC82" w:rsidR="001B1231" w:rsidRPr="00572199" w:rsidRDefault="004B7F9D" w:rsidP="00463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Literature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36F6" w14:textId="77777777" w:rsidR="001B1231" w:rsidRDefault="004B7F9D" w:rsidP="003E5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Bednarek – Wicked Women</w:t>
            </w:r>
          </w:p>
          <w:p w14:paraId="63393265" w14:textId="022958E2" w:rsidR="004B7F9D" w:rsidRPr="00572199" w:rsidRDefault="004B7F9D" w:rsidP="003E5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Children’s Lit reading TBA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B86F51" w14:textId="77777777" w:rsidR="001B1231" w:rsidRDefault="001B1231" w:rsidP="004B7F9D">
            <w:pPr>
              <w:rPr>
                <w:b/>
                <w:sz w:val="22"/>
                <w:szCs w:val="22"/>
              </w:rPr>
            </w:pPr>
            <w:r w:rsidRPr="007E0D45">
              <w:rPr>
                <w:b/>
                <w:sz w:val="22"/>
                <w:szCs w:val="22"/>
              </w:rPr>
              <w:t>RR</w:t>
            </w:r>
            <w:r w:rsidR="004B7F9D">
              <w:rPr>
                <w:b/>
                <w:sz w:val="22"/>
                <w:szCs w:val="22"/>
              </w:rPr>
              <w:t>8</w:t>
            </w:r>
          </w:p>
          <w:p w14:paraId="244F3585" w14:textId="12935357" w:rsidR="002D7C9E" w:rsidRPr="006B2F18" w:rsidRDefault="002D7C9E" w:rsidP="004B7F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Media Presentation</w:t>
            </w:r>
          </w:p>
        </w:tc>
      </w:tr>
      <w:tr w:rsidR="001B1231" w:rsidRPr="007E0D45" w14:paraId="5D7AF3F8" w14:textId="77777777" w:rsidTr="004F7121"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8EF034" w14:textId="3FFAFF44" w:rsidR="001B1231" w:rsidRDefault="001B1231" w:rsidP="00E50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 6/28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7F4" w14:textId="4F836365" w:rsidR="001B1231" w:rsidRDefault="004B7F9D" w:rsidP="001F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Performance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394A3" w14:textId="77777777" w:rsidR="001B1231" w:rsidRDefault="004B7F9D" w:rsidP="00463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Barrett – Supermodels of the world unite</w:t>
            </w:r>
          </w:p>
          <w:p w14:paraId="59E6760B" w14:textId="7B46F963" w:rsidR="004B7F9D" w:rsidRDefault="004B7F9D" w:rsidP="00463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Sclafani – Martha Stewart behaving badly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C3BBC9" w14:textId="77777777" w:rsidR="001B1231" w:rsidRDefault="004B7F9D" w:rsidP="007C7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RR9</w:t>
            </w:r>
          </w:p>
          <w:p w14:paraId="794B6BFE" w14:textId="2907C53E" w:rsidR="002D7C9E" w:rsidRPr="007E0D45" w:rsidRDefault="002D7C9E" w:rsidP="007C7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Media Presentation</w:t>
            </w:r>
          </w:p>
        </w:tc>
      </w:tr>
      <w:tr w:rsidR="001B1231" w:rsidRPr="007E0D45" w14:paraId="3DB45A4F" w14:textId="77777777" w:rsidTr="004F7121"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613381" w14:textId="273CD1A1" w:rsidR="001B1231" w:rsidRPr="00572199" w:rsidRDefault="001B1231" w:rsidP="00E50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6/29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AAB1" w14:textId="33D76EBE" w:rsidR="001B1231" w:rsidRPr="00572199" w:rsidRDefault="004B7F9D" w:rsidP="00690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and Sexuality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C7518" w14:textId="77777777" w:rsidR="001B1231" w:rsidRDefault="004B7F9D" w:rsidP="00427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Cameron and Kulick – Language Sexuality 1, 4</w:t>
            </w:r>
          </w:p>
          <w:p w14:paraId="05FDFF14" w14:textId="1BB4BC30" w:rsidR="004B7F9D" w:rsidRPr="00690D56" w:rsidRDefault="004B7F9D" w:rsidP="00427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Armstrong – Homophobic slang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26B058" w14:textId="77777777" w:rsidR="001B1231" w:rsidRDefault="004B7F9D" w:rsidP="007C7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RR10</w:t>
            </w:r>
          </w:p>
          <w:p w14:paraId="7C2F4D45" w14:textId="2947EB20" w:rsidR="002D7C9E" w:rsidRPr="007E0D45" w:rsidRDefault="002D7C9E" w:rsidP="007C7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Media Presentation</w:t>
            </w:r>
          </w:p>
        </w:tc>
      </w:tr>
      <w:tr w:rsidR="001B1231" w:rsidRPr="007E0D45" w14:paraId="094A9F41" w14:textId="77777777" w:rsidTr="001B1231"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C88655" w14:textId="14CBE011" w:rsidR="001B1231" w:rsidRPr="00572199" w:rsidRDefault="001B1231" w:rsidP="00BE0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6/30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625B2" w14:textId="1530F9D7" w:rsidR="001B1231" w:rsidRPr="00572199" w:rsidRDefault="000C319E" w:rsidP="00057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Intersections</w:t>
            </w:r>
            <w:r w:rsidR="002D7C9E">
              <w:rPr>
                <w:sz w:val="22"/>
                <w:szCs w:val="22"/>
              </w:rPr>
              <w:t>: Race and Ethnicity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C961" w14:textId="47FECDFB" w:rsidR="000C319E" w:rsidRDefault="000C319E" w:rsidP="00BA1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Fordham –</w:t>
            </w:r>
            <w:r w:rsidR="002D7C9E">
              <w:rPr>
                <w:sz w:val="22"/>
                <w:szCs w:val="22"/>
              </w:rPr>
              <w:t xml:space="preserve"> Those L</w:t>
            </w:r>
            <w:r>
              <w:rPr>
                <w:sz w:val="22"/>
                <w:szCs w:val="22"/>
              </w:rPr>
              <w:t>oud Black girls</w:t>
            </w:r>
          </w:p>
          <w:p w14:paraId="35710E0F" w14:textId="4C885438" w:rsidR="004B7F9D" w:rsidRPr="00572199" w:rsidRDefault="000C319E" w:rsidP="00BA1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Miller – Those naughty teenage girls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13E538" w14:textId="77777777" w:rsidR="001B1231" w:rsidRDefault="004B7F9D" w:rsidP="00057678">
            <w:pPr>
              <w:rPr>
                <w:b/>
                <w:sz w:val="22"/>
                <w:szCs w:val="22"/>
              </w:rPr>
            </w:pPr>
            <w:r w:rsidRPr="004B7F9D">
              <w:rPr>
                <w:b/>
                <w:sz w:val="22"/>
                <w:szCs w:val="22"/>
              </w:rPr>
              <w:t>RR11</w:t>
            </w:r>
          </w:p>
          <w:p w14:paraId="4D351A9C" w14:textId="614D70D4" w:rsidR="002D7C9E" w:rsidRPr="004B7F9D" w:rsidRDefault="002D7C9E" w:rsidP="00057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Media Presentation</w:t>
            </w:r>
          </w:p>
        </w:tc>
      </w:tr>
      <w:tr w:rsidR="001B1231" w:rsidRPr="007E0D45" w14:paraId="5D59327B" w14:textId="77777777" w:rsidTr="001B1231">
        <w:tc>
          <w:tcPr>
            <w:tcW w:w="97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14:paraId="53401B03" w14:textId="03214A56" w:rsidR="001B1231" w:rsidRPr="007E0D45" w:rsidRDefault="001B1231" w:rsidP="00057678">
            <w:pPr>
              <w:rPr>
                <w:b/>
                <w:sz w:val="22"/>
                <w:szCs w:val="22"/>
              </w:rPr>
            </w:pPr>
          </w:p>
        </w:tc>
      </w:tr>
      <w:tr w:rsidR="004B7F9D" w:rsidRPr="007E0D45" w14:paraId="43839BD8" w14:textId="77777777" w:rsidTr="004F7121"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CC2628" w14:textId="06DCFF30" w:rsidR="004B7F9D" w:rsidRPr="00572199" w:rsidRDefault="004B7F9D" w:rsidP="00BE0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 7/5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08015" w14:textId="133B9712" w:rsidR="004B7F9D" w:rsidRPr="00572199" w:rsidRDefault="004B7F9D" w:rsidP="00057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and School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951C" w14:textId="77777777" w:rsidR="004B7F9D" w:rsidRDefault="004B7F9D" w:rsidP="004B7F9D">
            <w:pPr>
              <w:rPr>
                <w:sz w:val="22"/>
                <w:szCs w:val="22"/>
              </w:rPr>
            </w:pPr>
            <w:r w:rsidRPr="00572199">
              <w:rPr>
                <w:sz w:val="22"/>
                <w:szCs w:val="22"/>
              </w:rPr>
              <w:t>Ochs and Taylor – “Father knows best”</w:t>
            </w:r>
          </w:p>
          <w:p w14:paraId="679E7E44" w14:textId="59C95B04" w:rsidR="004B7F9D" w:rsidRPr="00572199" w:rsidRDefault="004B7F9D" w:rsidP="001666BC">
            <w:pPr>
              <w:rPr>
                <w:sz w:val="22"/>
                <w:szCs w:val="22"/>
              </w:rPr>
            </w:pPr>
            <w:r w:rsidRPr="00572199">
              <w:rPr>
                <w:sz w:val="22"/>
                <w:szCs w:val="22"/>
              </w:rPr>
              <w:t>Baxter – Jokers in the pack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5EF256" w14:textId="4B2F6623" w:rsidR="004B7F9D" w:rsidRPr="007E0D45" w:rsidRDefault="004B7F9D" w:rsidP="0005767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Lit Review DUE</w:t>
            </w:r>
          </w:p>
        </w:tc>
      </w:tr>
      <w:tr w:rsidR="002D7C9E" w:rsidRPr="007E0D45" w14:paraId="06519B3A" w14:textId="77777777" w:rsidTr="004F7121"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FE75B4" w14:textId="67367BEC" w:rsidR="002D7C9E" w:rsidRPr="00572199" w:rsidRDefault="002D7C9E" w:rsidP="00BE0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7/6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31C2" w14:textId="3AF79F43" w:rsidR="002D7C9E" w:rsidRPr="00B23D2A" w:rsidRDefault="002D7C9E" w:rsidP="00690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Law and Politics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AD10" w14:textId="77777777" w:rsidR="002D7C9E" w:rsidRDefault="002D7C9E" w:rsidP="008D2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Ehrlich – The discursive construction of consent</w:t>
            </w:r>
          </w:p>
          <w:p w14:paraId="45DFE898" w14:textId="733742FB" w:rsidR="002D7C9E" w:rsidRPr="00DB33C2" w:rsidRDefault="002D7C9E" w:rsidP="008D2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Sclafani – Performing politics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EAF8A5" w14:textId="696C5DA4" w:rsidR="002D7C9E" w:rsidRPr="006B2F18" w:rsidRDefault="002D7C9E" w:rsidP="00057678">
            <w:pPr>
              <w:rPr>
                <w:b/>
                <w:sz w:val="22"/>
                <w:szCs w:val="22"/>
              </w:rPr>
            </w:pPr>
            <w:r w:rsidRPr="004B7F9D">
              <w:rPr>
                <w:b/>
                <w:sz w:val="22"/>
                <w:szCs w:val="22"/>
              </w:rPr>
              <w:t>RR1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2D7C9E" w:rsidRPr="007E0D45" w14:paraId="28E35B0C" w14:textId="77777777" w:rsidTr="004F7121"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253911" w14:textId="130B34D4" w:rsidR="002D7C9E" w:rsidRPr="00572199" w:rsidRDefault="002D7C9E" w:rsidP="00537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7/7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D05B9" w14:textId="2C27629B" w:rsidR="002D7C9E" w:rsidRPr="00572199" w:rsidRDefault="002D7C9E" w:rsidP="002D7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Media</w:t>
            </w:r>
          </w:p>
          <w:p w14:paraId="720B00A3" w14:textId="45E22CB9" w:rsidR="002D7C9E" w:rsidRPr="00572199" w:rsidRDefault="002D7C9E" w:rsidP="001751F0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67A6" w14:textId="03148941" w:rsidR="002D7C9E" w:rsidRPr="00572199" w:rsidRDefault="002D7C9E" w:rsidP="004B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Mortenson – Heterosexual desire in online dating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808282" w14:textId="2A0D8BC9" w:rsidR="002D7C9E" w:rsidRPr="007E0D45" w:rsidRDefault="002D7C9E" w:rsidP="00946E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Final Presentations</w:t>
            </w:r>
          </w:p>
          <w:p w14:paraId="2EA91DA7" w14:textId="4DCC1BCD" w:rsidR="002D7C9E" w:rsidRPr="007E0D45" w:rsidRDefault="002D7C9E" w:rsidP="00946E10">
            <w:pPr>
              <w:rPr>
                <w:sz w:val="22"/>
                <w:szCs w:val="22"/>
              </w:rPr>
            </w:pPr>
          </w:p>
        </w:tc>
      </w:tr>
      <w:tr w:rsidR="002D7C9E" w:rsidRPr="00572199" w14:paraId="00EE9D25" w14:textId="77777777" w:rsidTr="00CC6761">
        <w:tc>
          <w:tcPr>
            <w:tcW w:w="973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651D8" w14:textId="11A8C867" w:rsidR="002D7C9E" w:rsidRPr="00B7216E" w:rsidRDefault="002D7C9E" w:rsidP="002D7C9E">
            <w:pPr>
              <w:rPr>
                <w:sz w:val="22"/>
                <w:szCs w:val="22"/>
              </w:rPr>
            </w:pPr>
            <w:r w:rsidRPr="00B7216E">
              <w:rPr>
                <w:i/>
                <w:sz w:val="22"/>
                <w:szCs w:val="22"/>
              </w:rPr>
              <w:t>Final papers are du</w:t>
            </w:r>
            <w:r>
              <w:rPr>
                <w:i/>
                <w:sz w:val="22"/>
                <w:szCs w:val="22"/>
              </w:rPr>
              <w:t>e on Monday</w:t>
            </w:r>
            <w:r w:rsidRPr="00B7216E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July 11, </w:t>
            </w:r>
            <w:r w:rsidRPr="00B7216E">
              <w:rPr>
                <w:i/>
                <w:sz w:val="22"/>
                <w:szCs w:val="22"/>
              </w:rPr>
              <w:t>at 11:59pm. Please submit your final paper via Blackboard.</w:t>
            </w:r>
          </w:p>
        </w:tc>
      </w:tr>
    </w:tbl>
    <w:p w14:paraId="7C31B271" w14:textId="77777777" w:rsidR="0079757E" w:rsidRDefault="0079757E" w:rsidP="007C677F">
      <w:pPr>
        <w:jc w:val="center"/>
        <w:rPr>
          <w:b/>
          <w:sz w:val="22"/>
          <w:szCs w:val="22"/>
          <w:u w:val="single"/>
        </w:rPr>
      </w:pPr>
    </w:p>
    <w:p w14:paraId="1F515875" w14:textId="65E8125F" w:rsidR="00057678" w:rsidRPr="006B2F18" w:rsidRDefault="0079757E" w:rsidP="006B2F1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  <w:r w:rsidR="00057678" w:rsidRPr="00090439">
        <w:rPr>
          <w:b/>
          <w:sz w:val="22"/>
          <w:szCs w:val="22"/>
          <w:u w:val="single"/>
        </w:rPr>
        <w:lastRenderedPageBreak/>
        <w:t>Bibliography</w:t>
      </w:r>
      <w:r w:rsidR="005D4535" w:rsidRPr="00090439">
        <w:rPr>
          <w:b/>
          <w:sz w:val="22"/>
          <w:szCs w:val="22"/>
          <w:u w:val="single"/>
        </w:rPr>
        <w:t xml:space="preserve"> of Assigned Readings</w:t>
      </w:r>
    </w:p>
    <w:p w14:paraId="54B45A83" w14:textId="3093FF81" w:rsidR="001250B9" w:rsidRPr="00F21DDB" w:rsidRDefault="001250B9" w:rsidP="001250B9">
      <w:pPr>
        <w:ind w:left="720" w:hanging="720"/>
        <w:rPr>
          <w:sz w:val="22"/>
          <w:szCs w:val="22"/>
        </w:rPr>
      </w:pPr>
      <w:r w:rsidRPr="00F21DDB">
        <w:rPr>
          <w:sz w:val="22"/>
          <w:szCs w:val="22"/>
        </w:rPr>
        <w:t xml:space="preserve">Armstrong, James D. 1997. Homophobic slang as coercive discourse among college students. In Anna Livia and Kira Hall (eds.), </w:t>
      </w:r>
      <w:r w:rsidRPr="00F21DDB">
        <w:rPr>
          <w:i/>
          <w:sz w:val="22"/>
          <w:szCs w:val="22"/>
        </w:rPr>
        <w:t>Queerly Phrased: Language, Gender, and Sexuality.</w:t>
      </w:r>
      <w:r w:rsidRPr="00F21DDB">
        <w:rPr>
          <w:sz w:val="22"/>
          <w:szCs w:val="22"/>
        </w:rPr>
        <w:t xml:space="preserve">  New York: Oxford University Press. 326-34.</w:t>
      </w:r>
    </w:p>
    <w:p w14:paraId="6DE8B97C" w14:textId="7A25D47D" w:rsidR="00F21DDB" w:rsidRPr="00F21DDB" w:rsidRDefault="00F21DDB" w:rsidP="00B02D4F">
      <w:pPr>
        <w:ind w:left="720" w:hanging="720"/>
        <w:rPr>
          <w:sz w:val="22"/>
          <w:szCs w:val="22"/>
        </w:rPr>
      </w:pPr>
      <w:r w:rsidRPr="00F21DDB">
        <w:rPr>
          <w:sz w:val="22"/>
          <w:szCs w:val="22"/>
        </w:rPr>
        <w:t xml:space="preserve">Barrett, Rusty. 2006 [1995]. Supermodels of the world unite! Political economy and the language of performance among African American drag queens. Reprinted in Deborah Cameron &amp; Don Kulick (eds.) </w:t>
      </w:r>
      <w:r w:rsidRPr="00F21DDB">
        <w:rPr>
          <w:i/>
          <w:sz w:val="22"/>
          <w:szCs w:val="22"/>
        </w:rPr>
        <w:t>The Language and Sexuality Reader.</w:t>
      </w:r>
      <w:r w:rsidRPr="00F21DDB">
        <w:rPr>
          <w:sz w:val="22"/>
          <w:szCs w:val="22"/>
        </w:rPr>
        <w:t xml:space="preserve"> Cambridge: Cambridge University Press.</w:t>
      </w:r>
    </w:p>
    <w:p w14:paraId="7635F86E" w14:textId="1420AF94" w:rsidR="00EB7564" w:rsidRPr="00F21DDB" w:rsidRDefault="005D4535" w:rsidP="00B02D4F">
      <w:pPr>
        <w:ind w:left="720" w:hanging="720"/>
        <w:rPr>
          <w:sz w:val="22"/>
          <w:szCs w:val="22"/>
          <w:lang w:bidi="x-none"/>
        </w:rPr>
      </w:pPr>
      <w:r w:rsidRPr="00F21DDB">
        <w:rPr>
          <w:sz w:val="22"/>
          <w:szCs w:val="22"/>
        </w:rPr>
        <w:t xml:space="preserve">Baxter, Judith. 2002. Jokers in the pack: Why boys are more adept than girls at speaking in public settings. </w:t>
      </w:r>
      <w:r w:rsidRPr="00F21DDB">
        <w:rPr>
          <w:i/>
          <w:sz w:val="22"/>
          <w:szCs w:val="22"/>
        </w:rPr>
        <w:t>Language and Education</w:t>
      </w:r>
      <w:r w:rsidRPr="00F21DDB">
        <w:rPr>
          <w:sz w:val="22"/>
          <w:szCs w:val="22"/>
        </w:rPr>
        <w:t xml:space="preserve"> 16(1): 81-96. </w:t>
      </w:r>
    </w:p>
    <w:p w14:paraId="29424BCD" w14:textId="026B86B4" w:rsidR="00586B3B" w:rsidRDefault="00586B3B" w:rsidP="00191AE8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  <w:lang w:bidi="x-none"/>
        </w:rPr>
      </w:pPr>
      <w:r>
        <w:rPr>
          <w:sz w:val="22"/>
          <w:szCs w:val="22"/>
          <w:lang w:bidi="x-none"/>
        </w:rPr>
        <w:t>Bednarek</w:t>
      </w:r>
      <w:r w:rsidR="00B8718E">
        <w:rPr>
          <w:sz w:val="22"/>
          <w:szCs w:val="22"/>
          <w:lang w:bidi="x-none"/>
        </w:rPr>
        <w:t xml:space="preserve">, Monika. 2015. “Wicked” women in contemporary pop culture: “bad” language and gender in </w:t>
      </w:r>
      <w:r w:rsidR="00B8718E" w:rsidRPr="00B8718E">
        <w:rPr>
          <w:i/>
          <w:sz w:val="22"/>
          <w:szCs w:val="22"/>
          <w:lang w:bidi="x-none"/>
        </w:rPr>
        <w:t>Weeds</w:t>
      </w:r>
      <w:r w:rsidR="00B8718E">
        <w:rPr>
          <w:sz w:val="22"/>
          <w:szCs w:val="22"/>
          <w:lang w:bidi="x-none"/>
        </w:rPr>
        <w:t xml:space="preserve">, </w:t>
      </w:r>
      <w:r w:rsidR="00B8718E" w:rsidRPr="00B8718E">
        <w:rPr>
          <w:i/>
          <w:sz w:val="22"/>
          <w:szCs w:val="22"/>
          <w:lang w:bidi="x-none"/>
        </w:rPr>
        <w:t>Nurse Jackie</w:t>
      </w:r>
      <w:r w:rsidR="00B8718E">
        <w:rPr>
          <w:sz w:val="22"/>
          <w:szCs w:val="22"/>
          <w:lang w:bidi="x-none"/>
        </w:rPr>
        <w:t xml:space="preserve">, and </w:t>
      </w:r>
      <w:r w:rsidR="00B8718E" w:rsidRPr="00B8718E">
        <w:rPr>
          <w:i/>
          <w:sz w:val="22"/>
          <w:szCs w:val="22"/>
          <w:lang w:bidi="x-none"/>
        </w:rPr>
        <w:t>Saving Grace</w:t>
      </w:r>
      <w:r w:rsidR="00B8718E">
        <w:rPr>
          <w:sz w:val="22"/>
          <w:szCs w:val="22"/>
          <w:lang w:bidi="x-none"/>
        </w:rPr>
        <w:t xml:space="preserve">. </w:t>
      </w:r>
      <w:r w:rsidR="00B8718E" w:rsidRPr="00B8718E">
        <w:rPr>
          <w:i/>
          <w:sz w:val="22"/>
          <w:szCs w:val="22"/>
          <w:lang w:bidi="x-none"/>
        </w:rPr>
        <w:t>Text &amp; Talk</w:t>
      </w:r>
      <w:r w:rsidR="00B8718E">
        <w:rPr>
          <w:sz w:val="22"/>
          <w:szCs w:val="22"/>
          <w:lang w:bidi="x-none"/>
        </w:rPr>
        <w:t xml:space="preserve"> 35(4): 431-451.</w:t>
      </w:r>
    </w:p>
    <w:p w14:paraId="7E81881B" w14:textId="6F62BD61" w:rsidR="002B117A" w:rsidRPr="00F21DDB" w:rsidRDefault="002B117A" w:rsidP="00191AE8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  <w:lang w:bidi="x-none"/>
        </w:rPr>
      </w:pPr>
      <w:r w:rsidRPr="00F21DDB">
        <w:rPr>
          <w:sz w:val="22"/>
          <w:szCs w:val="22"/>
          <w:lang w:bidi="x-none"/>
        </w:rPr>
        <w:t xml:space="preserve">Cameron, Deborah. 1998. Performing Gender Identity: Young Men’s Talk and the Construction of Heterosexual Masculinity. In Jennifer Coates (ed.) </w:t>
      </w:r>
      <w:r w:rsidRPr="00F21DDB">
        <w:rPr>
          <w:i/>
          <w:sz w:val="22"/>
          <w:szCs w:val="22"/>
          <w:lang w:bidi="x-none"/>
        </w:rPr>
        <w:t>Language and Gender: A Reader</w:t>
      </w:r>
      <w:r w:rsidR="00A73902" w:rsidRPr="00F21DDB">
        <w:rPr>
          <w:sz w:val="22"/>
          <w:szCs w:val="22"/>
          <w:lang w:bidi="x-none"/>
        </w:rPr>
        <w:t>. Oxford: Blackwell.</w:t>
      </w:r>
      <w:r w:rsidRPr="00F21DDB">
        <w:rPr>
          <w:sz w:val="22"/>
          <w:szCs w:val="22"/>
          <w:lang w:bidi="x-none"/>
        </w:rPr>
        <w:t xml:space="preserve"> 270-284.</w:t>
      </w:r>
    </w:p>
    <w:p w14:paraId="217D1D75" w14:textId="7413B6E9" w:rsidR="00B8718E" w:rsidRDefault="00B8718E" w:rsidP="00431CC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Cameron, Deborah and Don Kulick. 2003. </w:t>
      </w:r>
      <w:r w:rsidRPr="00B8718E">
        <w:rPr>
          <w:i/>
          <w:sz w:val="22"/>
          <w:szCs w:val="22"/>
        </w:rPr>
        <w:t>Language and Sexuality.</w:t>
      </w:r>
      <w:r>
        <w:rPr>
          <w:sz w:val="22"/>
          <w:szCs w:val="22"/>
        </w:rPr>
        <w:t xml:space="preserve"> Cambridge: Cambridge University Press. Chapters 1, 4.</w:t>
      </w:r>
    </w:p>
    <w:p w14:paraId="5F5BF68D" w14:textId="57DFC32E" w:rsidR="00431CCB" w:rsidRPr="00F21DDB" w:rsidRDefault="00431CCB" w:rsidP="00431CCB">
      <w:pPr>
        <w:ind w:left="720" w:hanging="720"/>
        <w:rPr>
          <w:sz w:val="22"/>
          <w:szCs w:val="22"/>
        </w:rPr>
      </w:pPr>
      <w:r w:rsidRPr="00F21DDB">
        <w:rPr>
          <w:sz w:val="22"/>
          <w:szCs w:val="22"/>
        </w:rPr>
        <w:t>Coates, Jennifer. 1997. One-at-a-time: The organization of men’s talk. In Sally Johnson and Ulrike Meinhof (eds.), </w:t>
      </w:r>
      <w:r w:rsidRPr="00F21DDB">
        <w:rPr>
          <w:i/>
          <w:iCs/>
          <w:sz w:val="22"/>
          <w:szCs w:val="22"/>
        </w:rPr>
        <w:t>Language and Masculinity</w:t>
      </w:r>
      <w:r w:rsidR="002F4C22" w:rsidRPr="00F21DDB">
        <w:rPr>
          <w:sz w:val="22"/>
          <w:szCs w:val="22"/>
        </w:rPr>
        <w:t>. Oxford: Blackwell. 107-129</w:t>
      </w:r>
      <w:r w:rsidRPr="00F21DDB">
        <w:rPr>
          <w:sz w:val="22"/>
          <w:szCs w:val="22"/>
        </w:rPr>
        <w:t>.</w:t>
      </w:r>
    </w:p>
    <w:p w14:paraId="666692FD" w14:textId="4A27D926" w:rsidR="00E8210F" w:rsidRPr="00F21DDB" w:rsidRDefault="004516F2" w:rsidP="00191AE8">
      <w:pPr>
        <w:ind w:left="720" w:hanging="720"/>
        <w:rPr>
          <w:sz w:val="22"/>
          <w:szCs w:val="22"/>
          <w:lang w:bidi="x-none"/>
        </w:rPr>
      </w:pPr>
      <w:r w:rsidRPr="00F21DDB">
        <w:rPr>
          <w:sz w:val="22"/>
          <w:szCs w:val="22"/>
          <w:lang w:bidi="x-none"/>
        </w:rPr>
        <w:t>Coates, Jennifer. 1998. Gossip revisited: Language in all-female g</w:t>
      </w:r>
      <w:r w:rsidR="00E8210F" w:rsidRPr="00F21DDB">
        <w:rPr>
          <w:sz w:val="22"/>
          <w:szCs w:val="22"/>
          <w:lang w:bidi="x-none"/>
        </w:rPr>
        <w:t xml:space="preserve">roups. In Jennifer Coates (ed.) </w:t>
      </w:r>
      <w:r w:rsidR="00E8210F" w:rsidRPr="00F21DDB">
        <w:rPr>
          <w:i/>
          <w:sz w:val="22"/>
          <w:szCs w:val="22"/>
          <w:lang w:bidi="x-none"/>
        </w:rPr>
        <w:t>Language and Gender: A Reader</w:t>
      </w:r>
      <w:r w:rsidR="00E8210F" w:rsidRPr="00F21DDB">
        <w:rPr>
          <w:sz w:val="22"/>
          <w:szCs w:val="22"/>
          <w:lang w:bidi="x-none"/>
        </w:rPr>
        <w:t>. Oxford: Blackwell, pp. 226-253.</w:t>
      </w:r>
    </w:p>
    <w:p w14:paraId="77C25A3C" w14:textId="723CE794" w:rsidR="001E7CBB" w:rsidRPr="00F21DDB" w:rsidRDefault="001E7CBB" w:rsidP="00191AE8">
      <w:pPr>
        <w:ind w:left="720" w:hanging="720"/>
        <w:rPr>
          <w:sz w:val="22"/>
          <w:szCs w:val="22"/>
        </w:rPr>
      </w:pPr>
      <w:r w:rsidRPr="00F21DDB">
        <w:rPr>
          <w:sz w:val="22"/>
          <w:szCs w:val="22"/>
        </w:rPr>
        <w:t xml:space="preserve">Eckert, Penelope and McConnell-Ginet, Sally. 2003. Constructing, deconstructing, and reconstructing gender. </w:t>
      </w:r>
      <w:r w:rsidRPr="00F21DDB">
        <w:rPr>
          <w:i/>
          <w:sz w:val="22"/>
          <w:szCs w:val="22"/>
        </w:rPr>
        <w:t>Language and Gender.</w:t>
      </w:r>
      <w:r w:rsidRPr="00F21DDB">
        <w:rPr>
          <w:sz w:val="22"/>
          <w:szCs w:val="22"/>
        </w:rPr>
        <w:t xml:space="preserve"> New York: Cambridge University Press.</w:t>
      </w:r>
    </w:p>
    <w:p w14:paraId="4660B992" w14:textId="760CB505" w:rsidR="005D4535" w:rsidRPr="00F21DDB" w:rsidRDefault="005D4535" w:rsidP="00191AE8">
      <w:pPr>
        <w:ind w:left="720" w:hanging="720"/>
        <w:rPr>
          <w:sz w:val="22"/>
          <w:szCs w:val="22"/>
        </w:rPr>
      </w:pPr>
      <w:r w:rsidRPr="00F21DDB">
        <w:rPr>
          <w:sz w:val="22"/>
          <w:szCs w:val="22"/>
        </w:rPr>
        <w:t xml:space="preserve">Ehrlich, Susan. 2006. The discursive reconstruction of sexual consent. In Deborah Cameron and Don Kulick (eds.), </w:t>
      </w:r>
      <w:r w:rsidRPr="00F21DDB">
        <w:rPr>
          <w:i/>
          <w:sz w:val="22"/>
          <w:szCs w:val="22"/>
        </w:rPr>
        <w:t>The Language and Sexuality Reader</w:t>
      </w:r>
      <w:r w:rsidRPr="00F21DDB">
        <w:rPr>
          <w:sz w:val="22"/>
          <w:szCs w:val="22"/>
        </w:rPr>
        <w:t>, pp. 196-214. New York: Routledge.</w:t>
      </w:r>
    </w:p>
    <w:p w14:paraId="14B88BC7" w14:textId="1C2803E8" w:rsidR="0050140E" w:rsidRDefault="0050140E" w:rsidP="004516F2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Fordham, Signithia. 1993. ‘Those Loud Black Girls’: (Black) women, silence and gender ‘passing’ in the Academy. </w:t>
      </w:r>
      <w:r w:rsidRPr="0050140E">
        <w:rPr>
          <w:i/>
          <w:sz w:val="22"/>
          <w:szCs w:val="22"/>
        </w:rPr>
        <w:t>Anthropology &amp; Education Quarterly</w:t>
      </w:r>
      <w:r>
        <w:rPr>
          <w:sz w:val="22"/>
          <w:szCs w:val="22"/>
        </w:rPr>
        <w:t xml:space="preserve"> 24(1): 3-32.</w:t>
      </w:r>
    </w:p>
    <w:p w14:paraId="75CC8BE5" w14:textId="06D701B3" w:rsidR="002F4C22" w:rsidRPr="00F21DDB" w:rsidRDefault="002F4C22" w:rsidP="004516F2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F21DDB">
        <w:rPr>
          <w:sz w:val="22"/>
          <w:szCs w:val="22"/>
        </w:rPr>
        <w:t xml:space="preserve">Holmes, Janet. 1995. What a lovely tie! </w:t>
      </w:r>
      <w:r w:rsidRPr="00F21DDB">
        <w:rPr>
          <w:i/>
          <w:sz w:val="22"/>
          <w:szCs w:val="22"/>
        </w:rPr>
        <w:t>Women, Men and Politeness.</w:t>
      </w:r>
      <w:r w:rsidRPr="00F21DDB">
        <w:rPr>
          <w:sz w:val="22"/>
          <w:szCs w:val="22"/>
        </w:rPr>
        <w:t xml:space="preserve"> London and New York: Longman. </w:t>
      </w:r>
    </w:p>
    <w:p w14:paraId="3CA0024F" w14:textId="695EFB19" w:rsidR="003741B0" w:rsidRPr="00F21DDB" w:rsidRDefault="002F4C22" w:rsidP="003741B0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F21DDB">
        <w:rPr>
          <w:sz w:val="22"/>
          <w:szCs w:val="22"/>
        </w:rPr>
        <w:t xml:space="preserve">Johnstone, Barbara. 1993. </w:t>
      </w:r>
      <w:r w:rsidR="003741B0" w:rsidRPr="00F21DDB">
        <w:rPr>
          <w:sz w:val="22"/>
          <w:szCs w:val="22"/>
        </w:rPr>
        <w:t>Community and contest: Midwestern men and women creating their worlds in conversational storytelling. In Deborah Tannen (ed.), </w:t>
      </w:r>
      <w:r w:rsidR="003741B0" w:rsidRPr="00F21DDB">
        <w:rPr>
          <w:i/>
          <w:iCs/>
          <w:sz w:val="22"/>
          <w:szCs w:val="22"/>
        </w:rPr>
        <w:t>Gender and Conversational Interaction</w:t>
      </w:r>
      <w:r w:rsidR="003741B0" w:rsidRPr="00F21DDB">
        <w:rPr>
          <w:sz w:val="22"/>
          <w:szCs w:val="22"/>
        </w:rPr>
        <w:t>. New York: Oxford University Press. 62-80.</w:t>
      </w:r>
    </w:p>
    <w:p w14:paraId="2AC9D1E8" w14:textId="17C971D5" w:rsidR="004516F2" w:rsidRDefault="004516F2" w:rsidP="004516F2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F21DDB">
        <w:rPr>
          <w:sz w:val="22"/>
          <w:szCs w:val="22"/>
        </w:rPr>
        <w:t>Kiesling, Scott. 1997. Power and the language of men. In S</w:t>
      </w:r>
      <w:r w:rsidR="0050140E">
        <w:rPr>
          <w:sz w:val="22"/>
          <w:szCs w:val="22"/>
        </w:rPr>
        <w:t xml:space="preserve">ally Johnson and Ulrike Meinhof </w:t>
      </w:r>
      <w:r w:rsidRPr="00F21DDB">
        <w:rPr>
          <w:sz w:val="22"/>
          <w:szCs w:val="22"/>
        </w:rPr>
        <w:t>(eds.), </w:t>
      </w:r>
      <w:r w:rsidRPr="00F21DDB">
        <w:rPr>
          <w:i/>
          <w:iCs/>
          <w:sz w:val="22"/>
          <w:szCs w:val="22"/>
        </w:rPr>
        <w:t>Language and Masculinity</w:t>
      </w:r>
      <w:r w:rsidRPr="00F21DDB">
        <w:rPr>
          <w:sz w:val="22"/>
          <w:szCs w:val="22"/>
        </w:rPr>
        <w:t>. Oxford: Blackwell. 65-85.</w:t>
      </w:r>
    </w:p>
    <w:p w14:paraId="72EE6CE6" w14:textId="6538E76F" w:rsidR="002D7C9E" w:rsidRPr="00F21DDB" w:rsidRDefault="002D7C9E" w:rsidP="004516F2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Kiesling, Scott. 2004. Dude. </w:t>
      </w:r>
      <w:r w:rsidRPr="0050140E">
        <w:rPr>
          <w:i/>
          <w:sz w:val="22"/>
          <w:szCs w:val="22"/>
        </w:rPr>
        <w:t>American Speech</w:t>
      </w:r>
      <w:r>
        <w:rPr>
          <w:sz w:val="22"/>
          <w:szCs w:val="22"/>
        </w:rPr>
        <w:t xml:space="preserve"> 79(3): 281-305.</w:t>
      </w:r>
    </w:p>
    <w:p w14:paraId="5FB0148D" w14:textId="31FB816D" w:rsidR="00F21DDB" w:rsidRPr="00F21DDB" w:rsidRDefault="00F21DDB" w:rsidP="00935EB5">
      <w:pPr>
        <w:ind w:left="720" w:hanging="720"/>
        <w:rPr>
          <w:sz w:val="22"/>
          <w:szCs w:val="22"/>
        </w:rPr>
      </w:pPr>
      <w:r w:rsidRPr="00F21DDB">
        <w:rPr>
          <w:sz w:val="22"/>
          <w:szCs w:val="22"/>
        </w:rPr>
        <w:t xml:space="preserve">Maltz, Daniel &amp; Borker, Ruth. 1982. A cultural approach to male-female miscommunication. In John Gumperz (ed.), </w:t>
      </w:r>
      <w:r w:rsidRPr="00F21DDB">
        <w:rPr>
          <w:i/>
          <w:sz w:val="22"/>
          <w:szCs w:val="22"/>
        </w:rPr>
        <w:t>Language and Social Identity.</w:t>
      </w:r>
      <w:r w:rsidRPr="00F21DDB">
        <w:rPr>
          <w:sz w:val="22"/>
          <w:szCs w:val="22"/>
        </w:rPr>
        <w:t xml:space="preserve"> Cambridge: Cambridge University Press. </w:t>
      </w:r>
    </w:p>
    <w:p w14:paraId="64F72902" w14:textId="2CA711E7" w:rsidR="0050140E" w:rsidRDefault="0050140E" w:rsidP="00935EB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Miller, Laura. Those naughty teenage girls: Japaense kogals, slang, and media assessments. </w:t>
      </w:r>
      <w:r w:rsidRPr="0050140E">
        <w:rPr>
          <w:i/>
          <w:sz w:val="22"/>
          <w:szCs w:val="22"/>
        </w:rPr>
        <w:t>Journal of Linguistic Anthropology 14</w:t>
      </w:r>
      <w:r>
        <w:rPr>
          <w:sz w:val="22"/>
          <w:szCs w:val="22"/>
        </w:rPr>
        <w:t>(2): 225-247.</w:t>
      </w:r>
    </w:p>
    <w:p w14:paraId="67ACF6F4" w14:textId="78ED0F29" w:rsidR="00586B3B" w:rsidRDefault="00586B3B" w:rsidP="00935EB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Mortenson</w:t>
      </w:r>
      <w:r w:rsidR="00B8718E">
        <w:rPr>
          <w:sz w:val="22"/>
          <w:szCs w:val="22"/>
        </w:rPr>
        <w:t xml:space="preserve">, Kristine Kohler. 2015. A bit too skinny for me: women’s homosocial constructions of heterosexual desire in online dating. </w:t>
      </w:r>
      <w:r w:rsidR="00B8718E" w:rsidRPr="00B8718E">
        <w:rPr>
          <w:i/>
          <w:sz w:val="22"/>
          <w:szCs w:val="22"/>
        </w:rPr>
        <w:t>Gender and Language</w:t>
      </w:r>
      <w:r w:rsidR="00B8718E">
        <w:rPr>
          <w:sz w:val="22"/>
          <w:szCs w:val="22"/>
        </w:rPr>
        <w:t xml:space="preserve"> 9(3): 461-487.</w:t>
      </w:r>
    </w:p>
    <w:p w14:paraId="2DBD4857" w14:textId="718ACFF8" w:rsidR="00935EB5" w:rsidRPr="00F21DDB" w:rsidRDefault="00935EB5" w:rsidP="00935EB5">
      <w:pPr>
        <w:ind w:left="720" w:hanging="720"/>
        <w:rPr>
          <w:sz w:val="22"/>
          <w:szCs w:val="22"/>
        </w:rPr>
      </w:pPr>
      <w:r w:rsidRPr="00F21DDB">
        <w:rPr>
          <w:sz w:val="22"/>
          <w:szCs w:val="22"/>
        </w:rPr>
        <w:t>Mullany, Louise. 2004. Gender, politeness and institutional power roles: Humour as a tactic to gain compliance in workplace business meetings.</w:t>
      </w:r>
      <w:r w:rsidRPr="00F21DDB">
        <w:rPr>
          <w:i/>
          <w:sz w:val="22"/>
          <w:szCs w:val="22"/>
        </w:rPr>
        <w:t xml:space="preserve"> Multilingua</w:t>
      </w:r>
      <w:r w:rsidRPr="00F21DDB">
        <w:rPr>
          <w:sz w:val="22"/>
          <w:szCs w:val="22"/>
        </w:rPr>
        <w:t xml:space="preserve"> </w:t>
      </w:r>
      <w:r w:rsidRPr="00F21DDB">
        <w:rPr>
          <w:i/>
          <w:sz w:val="22"/>
          <w:szCs w:val="22"/>
        </w:rPr>
        <w:t>23</w:t>
      </w:r>
      <w:r w:rsidRPr="00F21DDB">
        <w:rPr>
          <w:sz w:val="22"/>
          <w:szCs w:val="22"/>
        </w:rPr>
        <w:t>, 13-37.</w:t>
      </w:r>
    </w:p>
    <w:p w14:paraId="44A3DCE7" w14:textId="0DCF7C51" w:rsidR="004516F2" w:rsidRPr="00F21DDB" w:rsidRDefault="004516F2" w:rsidP="00431CCB">
      <w:pPr>
        <w:ind w:left="720" w:hanging="720"/>
        <w:rPr>
          <w:sz w:val="22"/>
          <w:szCs w:val="22"/>
        </w:rPr>
      </w:pPr>
      <w:r w:rsidRPr="00F21DDB">
        <w:rPr>
          <w:sz w:val="22"/>
          <w:szCs w:val="22"/>
        </w:rPr>
        <w:t xml:space="preserve">Ochs, Elinor. </w:t>
      </w:r>
      <w:r w:rsidR="007904FF" w:rsidRPr="00F21DDB">
        <w:rPr>
          <w:sz w:val="22"/>
          <w:szCs w:val="22"/>
        </w:rPr>
        <w:t xml:space="preserve">1991. </w:t>
      </w:r>
      <w:r w:rsidRPr="00F21DDB">
        <w:rPr>
          <w:sz w:val="22"/>
          <w:szCs w:val="22"/>
        </w:rPr>
        <w:t>Indexing gender.</w:t>
      </w:r>
      <w:r w:rsidR="007904FF" w:rsidRPr="00F21DDB">
        <w:rPr>
          <w:sz w:val="22"/>
          <w:szCs w:val="22"/>
        </w:rPr>
        <w:t xml:space="preserve"> In </w:t>
      </w:r>
      <w:r w:rsidR="007904FF" w:rsidRPr="00F21DDB">
        <w:rPr>
          <w:i/>
          <w:sz w:val="22"/>
          <w:szCs w:val="22"/>
        </w:rPr>
        <w:t xml:space="preserve">Rethinking Context, </w:t>
      </w:r>
      <w:r w:rsidR="007904FF" w:rsidRPr="00F21DDB">
        <w:rPr>
          <w:sz w:val="22"/>
          <w:szCs w:val="22"/>
        </w:rPr>
        <w:t>ed. by A. Duranti and C. Goodwin. Cambridge: Cambridge University Press. </w:t>
      </w:r>
    </w:p>
    <w:p w14:paraId="6CD56B93" w14:textId="5D5E66AD" w:rsidR="00E8210F" w:rsidRPr="00F21DDB" w:rsidRDefault="00E8210F" w:rsidP="00191AE8">
      <w:pPr>
        <w:ind w:left="720" w:hanging="720"/>
        <w:rPr>
          <w:i/>
          <w:sz w:val="22"/>
          <w:szCs w:val="22"/>
        </w:rPr>
      </w:pPr>
      <w:r w:rsidRPr="00F21DDB">
        <w:rPr>
          <w:sz w:val="22"/>
          <w:szCs w:val="22"/>
        </w:rPr>
        <w:t>Ochs, Elinor and Carolyn Taylor.</w:t>
      </w:r>
      <w:r w:rsidR="000024FC" w:rsidRPr="00F21DDB">
        <w:rPr>
          <w:sz w:val="22"/>
          <w:szCs w:val="22"/>
        </w:rPr>
        <w:t xml:space="preserve"> </w:t>
      </w:r>
      <w:r w:rsidRPr="00F21DDB">
        <w:rPr>
          <w:sz w:val="22"/>
          <w:szCs w:val="22"/>
        </w:rPr>
        <w:t xml:space="preserve">The “Father Knows Best” dynamic in dinnertime narratives. In Kira Hall and Mary Bucholtz (eds), </w:t>
      </w:r>
      <w:r w:rsidRPr="00F21DDB">
        <w:rPr>
          <w:i/>
          <w:sz w:val="22"/>
          <w:szCs w:val="22"/>
        </w:rPr>
        <w:t>Gender Articulated: Language and the Socially Constructed Self.</w:t>
      </w:r>
      <w:r w:rsidR="000024FC" w:rsidRPr="00F21DDB">
        <w:rPr>
          <w:i/>
          <w:sz w:val="22"/>
          <w:szCs w:val="22"/>
        </w:rPr>
        <w:t xml:space="preserve"> </w:t>
      </w:r>
      <w:r w:rsidRPr="00F21DDB">
        <w:rPr>
          <w:sz w:val="22"/>
          <w:szCs w:val="22"/>
        </w:rPr>
        <w:t>New York; London: Routledge. pp. 97-120.</w:t>
      </w:r>
    </w:p>
    <w:p w14:paraId="3A081E23" w14:textId="612E3133" w:rsidR="00586B3B" w:rsidRDefault="00586B3B" w:rsidP="00191AE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Sclafani</w:t>
      </w:r>
      <w:r w:rsidR="00B8718E">
        <w:rPr>
          <w:sz w:val="22"/>
          <w:szCs w:val="22"/>
        </w:rPr>
        <w:t xml:space="preserve">, Jennifer. 2009. Martha Stewart behaving Badly: Parody and the symbolic meaning of style. </w:t>
      </w:r>
      <w:r w:rsidR="00B8718E" w:rsidRPr="00B8718E">
        <w:rPr>
          <w:i/>
          <w:sz w:val="22"/>
          <w:szCs w:val="22"/>
        </w:rPr>
        <w:t>Journal of Sociolinguistics</w:t>
      </w:r>
      <w:r w:rsidR="00B8718E">
        <w:rPr>
          <w:sz w:val="22"/>
          <w:szCs w:val="22"/>
        </w:rPr>
        <w:t xml:space="preserve"> 13(5) 613-633.</w:t>
      </w:r>
    </w:p>
    <w:p w14:paraId="531380F0" w14:textId="2FB050D4" w:rsidR="002D7C9E" w:rsidRDefault="002D7C9E" w:rsidP="00191AE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Sclafani, Jennifer</w:t>
      </w:r>
      <w:r w:rsidR="0050140E">
        <w:rPr>
          <w:sz w:val="22"/>
          <w:szCs w:val="22"/>
        </w:rPr>
        <w:t xml:space="preserve">. In press. Performing politics: From the town hall to the inauguration. In R. Wodak &amp; B. Forchner (eds), </w:t>
      </w:r>
      <w:r w:rsidR="0050140E">
        <w:rPr>
          <w:i/>
          <w:sz w:val="22"/>
          <w:szCs w:val="22"/>
        </w:rPr>
        <w:t xml:space="preserve">The </w:t>
      </w:r>
      <w:r w:rsidR="0050140E" w:rsidRPr="0050140E">
        <w:rPr>
          <w:i/>
          <w:sz w:val="22"/>
          <w:szCs w:val="22"/>
        </w:rPr>
        <w:t>Handbook of Language and Politics.</w:t>
      </w:r>
      <w:r w:rsidR="0050140E">
        <w:rPr>
          <w:sz w:val="22"/>
          <w:szCs w:val="22"/>
        </w:rPr>
        <w:t xml:space="preserve"> Routledge.</w:t>
      </w:r>
    </w:p>
    <w:p w14:paraId="12288F75" w14:textId="6478EDC5" w:rsidR="00057678" w:rsidRPr="00F21DDB" w:rsidRDefault="00E8210F" w:rsidP="00191AE8">
      <w:pPr>
        <w:ind w:left="720" w:hanging="720"/>
        <w:rPr>
          <w:sz w:val="22"/>
          <w:szCs w:val="22"/>
        </w:rPr>
      </w:pPr>
      <w:r w:rsidRPr="00F21DDB">
        <w:rPr>
          <w:sz w:val="22"/>
          <w:szCs w:val="22"/>
        </w:rPr>
        <w:lastRenderedPageBreak/>
        <w:t>Talbot, Mary.</w:t>
      </w:r>
      <w:r w:rsidR="000024FC" w:rsidRPr="00F21DDB">
        <w:rPr>
          <w:sz w:val="22"/>
          <w:szCs w:val="22"/>
        </w:rPr>
        <w:t xml:space="preserve"> </w:t>
      </w:r>
      <w:r w:rsidRPr="00F21DDB">
        <w:rPr>
          <w:sz w:val="22"/>
          <w:szCs w:val="22"/>
        </w:rPr>
        <w:t>1995.</w:t>
      </w:r>
      <w:r w:rsidR="000024FC" w:rsidRPr="00F21DDB">
        <w:rPr>
          <w:sz w:val="22"/>
          <w:szCs w:val="22"/>
        </w:rPr>
        <w:t xml:space="preserve"> </w:t>
      </w:r>
      <w:r w:rsidRPr="00F21DDB">
        <w:rPr>
          <w:sz w:val="22"/>
          <w:szCs w:val="22"/>
        </w:rPr>
        <w:t xml:space="preserve">A synthetic sisterhood. In Kira Hall and Mary Bucholtz (eds), </w:t>
      </w:r>
      <w:r w:rsidRPr="00F21DDB">
        <w:rPr>
          <w:i/>
          <w:sz w:val="22"/>
          <w:szCs w:val="22"/>
        </w:rPr>
        <w:t>Gender Articulated: Language and the Socially Constructed Self.</w:t>
      </w:r>
      <w:r w:rsidR="000024FC" w:rsidRPr="00F21DDB">
        <w:rPr>
          <w:i/>
          <w:sz w:val="22"/>
          <w:szCs w:val="22"/>
        </w:rPr>
        <w:t xml:space="preserve"> </w:t>
      </w:r>
      <w:r w:rsidRPr="00F21DDB">
        <w:rPr>
          <w:sz w:val="22"/>
          <w:szCs w:val="22"/>
        </w:rPr>
        <w:t>New York; London: Routledge. pp. 143-165.</w:t>
      </w:r>
      <w:r w:rsidR="00593706" w:rsidRPr="00F21DDB">
        <w:rPr>
          <w:sz w:val="22"/>
          <w:szCs w:val="22"/>
        </w:rPr>
        <w:t xml:space="preserve"> </w:t>
      </w:r>
    </w:p>
    <w:p w14:paraId="1315C0A6" w14:textId="46B1D950" w:rsidR="006B2F18" w:rsidRDefault="006B2F18" w:rsidP="00B7216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Troemel-Ploetz, Senta. 1991. Selling the apolitical. Review of Deborah Tannen’s </w:t>
      </w:r>
      <w:r w:rsidRPr="006B2F18">
        <w:rPr>
          <w:i/>
          <w:sz w:val="22"/>
          <w:szCs w:val="22"/>
        </w:rPr>
        <w:t>You Just Don’t Understand</w:t>
      </w:r>
      <w:r>
        <w:rPr>
          <w:sz w:val="22"/>
          <w:szCs w:val="22"/>
        </w:rPr>
        <w:t xml:space="preserve">. </w:t>
      </w:r>
      <w:r w:rsidRPr="006B2F18">
        <w:rPr>
          <w:i/>
          <w:sz w:val="22"/>
          <w:szCs w:val="22"/>
        </w:rPr>
        <w:t>Discourse &amp; Society</w:t>
      </w:r>
      <w:r>
        <w:rPr>
          <w:sz w:val="22"/>
          <w:szCs w:val="22"/>
        </w:rPr>
        <w:t xml:space="preserve"> 2(4): 489-502.</w:t>
      </w:r>
    </w:p>
    <w:p w14:paraId="75595B6C" w14:textId="1A19A5B7" w:rsidR="00586B3B" w:rsidRPr="00572199" w:rsidRDefault="00586B3B" w:rsidP="0050140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Zimman</w:t>
      </w:r>
      <w:r w:rsidR="00B8718E">
        <w:rPr>
          <w:sz w:val="22"/>
          <w:szCs w:val="22"/>
        </w:rPr>
        <w:t xml:space="preserve">, Lal. 2009. ‘The other kind of coming out’: Transgender people and the coming out narrative genre. </w:t>
      </w:r>
      <w:r w:rsidR="00B8718E" w:rsidRPr="00B8718E">
        <w:rPr>
          <w:i/>
          <w:sz w:val="22"/>
          <w:szCs w:val="22"/>
        </w:rPr>
        <w:t>Gender &amp; Language</w:t>
      </w:r>
      <w:r w:rsidR="00B8718E">
        <w:rPr>
          <w:sz w:val="22"/>
          <w:szCs w:val="22"/>
        </w:rPr>
        <w:t xml:space="preserve"> 3(1): 53-80.</w:t>
      </w:r>
    </w:p>
    <w:sectPr w:rsidR="00586B3B" w:rsidRPr="00572199" w:rsidSect="0050140E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838A8" w14:textId="77777777" w:rsidR="0050140E" w:rsidRDefault="0050140E">
      <w:r>
        <w:separator/>
      </w:r>
    </w:p>
  </w:endnote>
  <w:endnote w:type="continuationSeparator" w:id="0">
    <w:p w14:paraId="7ED4FA12" w14:textId="77777777" w:rsidR="0050140E" w:rsidRDefault="0050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EADB4" w14:textId="77777777" w:rsidR="0050140E" w:rsidRDefault="0050140E" w:rsidP="00E821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AA857F" w14:textId="77777777" w:rsidR="0050140E" w:rsidRDefault="005014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E7CBA" w14:textId="77777777" w:rsidR="0050140E" w:rsidRDefault="0050140E" w:rsidP="00E821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06D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93B7EC" w14:textId="77777777" w:rsidR="0050140E" w:rsidRDefault="005014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20886" w14:textId="77777777" w:rsidR="0050140E" w:rsidRDefault="0050140E">
      <w:r>
        <w:separator/>
      </w:r>
    </w:p>
  </w:footnote>
  <w:footnote w:type="continuationSeparator" w:id="0">
    <w:p w14:paraId="0A1ABB26" w14:textId="77777777" w:rsidR="0050140E" w:rsidRDefault="00501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7E0"/>
    <w:multiLevelType w:val="hybridMultilevel"/>
    <w:tmpl w:val="5562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71E9"/>
    <w:multiLevelType w:val="hybridMultilevel"/>
    <w:tmpl w:val="1BBA3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12164"/>
    <w:multiLevelType w:val="hybridMultilevel"/>
    <w:tmpl w:val="5B10E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53FB6"/>
    <w:multiLevelType w:val="hybridMultilevel"/>
    <w:tmpl w:val="47ACE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F6AB6"/>
    <w:multiLevelType w:val="hybridMultilevel"/>
    <w:tmpl w:val="CEB21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F41E50"/>
    <w:multiLevelType w:val="hybridMultilevel"/>
    <w:tmpl w:val="FF10B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1B7FE9"/>
    <w:multiLevelType w:val="hybridMultilevel"/>
    <w:tmpl w:val="E8FA8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668C9"/>
    <w:multiLevelType w:val="hybridMultilevel"/>
    <w:tmpl w:val="6DE8CF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05B40"/>
    <w:multiLevelType w:val="hybridMultilevel"/>
    <w:tmpl w:val="E152A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0068B"/>
    <w:multiLevelType w:val="hybridMultilevel"/>
    <w:tmpl w:val="5AC6D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921154"/>
    <w:multiLevelType w:val="hybridMultilevel"/>
    <w:tmpl w:val="47F2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B32344"/>
    <w:multiLevelType w:val="hybridMultilevel"/>
    <w:tmpl w:val="338CD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A84258"/>
    <w:multiLevelType w:val="hybridMultilevel"/>
    <w:tmpl w:val="C62626E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3C9F545B"/>
    <w:multiLevelType w:val="hybridMultilevel"/>
    <w:tmpl w:val="5C70B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C06232"/>
    <w:multiLevelType w:val="hybridMultilevel"/>
    <w:tmpl w:val="ED1C0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5D4EF5"/>
    <w:multiLevelType w:val="hybridMultilevel"/>
    <w:tmpl w:val="B35AF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F232C4"/>
    <w:multiLevelType w:val="hybridMultilevel"/>
    <w:tmpl w:val="8FC4E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9518A2"/>
    <w:multiLevelType w:val="hybridMultilevel"/>
    <w:tmpl w:val="89A609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25E24FA"/>
    <w:multiLevelType w:val="hybridMultilevel"/>
    <w:tmpl w:val="FB1277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271DFB"/>
    <w:multiLevelType w:val="hybridMultilevel"/>
    <w:tmpl w:val="AA589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D81AA0"/>
    <w:multiLevelType w:val="hybridMultilevel"/>
    <w:tmpl w:val="18889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7F5569"/>
    <w:multiLevelType w:val="hybridMultilevel"/>
    <w:tmpl w:val="CBCCD5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AE1067C"/>
    <w:multiLevelType w:val="hybridMultilevel"/>
    <w:tmpl w:val="3574F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125EB7"/>
    <w:multiLevelType w:val="hybridMultilevel"/>
    <w:tmpl w:val="9B12A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8C7FA1"/>
    <w:multiLevelType w:val="hybridMultilevel"/>
    <w:tmpl w:val="4A50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10"/>
  </w:num>
  <w:num w:numId="5">
    <w:abstractNumId w:val="21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22"/>
  </w:num>
  <w:num w:numId="11">
    <w:abstractNumId w:val="11"/>
  </w:num>
  <w:num w:numId="12">
    <w:abstractNumId w:val="16"/>
  </w:num>
  <w:num w:numId="13">
    <w:abstractNumId w:val="12"/>
  </w:num>
  <w:num w:numId="14">
    <w:abstractNumId w:val="1"/>
  </w:num>
  <w:num w:numId="15">
    <w:abstractNumId w:val="13"/>
  </w:num>
  <w:num w:numId="16">
    <w:abstractNumId w:val="20"/>
  </w:num>
  <w:num w:numId="17">
    <w:abstractNumId w:val="6"/>
  </w:num>
  <w:num w:numId="18">
    <w:abstractNumId w:val="23"/>
  </w:num>
  <w:num w:numId="19">
    <w:abstractNumId w:val="14"/>
  </w:num>
  <w:num w:numId="20">
    <w:abstractNumId w:val="15"/>
  </w:num>
  <w:num w:numId="21">
    <w:abstractNumId w:val="8"/>
  </w:num>
  <w:num w:numId="22">
    <w:abstractNumId w:val="24"/>
  </w:num>
  <w:num w:numId="23">
    <w:abstractNumId w:val="0"/>
  </w:num>
  <w:num w:numId="24">
    <w:abstractNumId w:val="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31"/>
    <w:rsid w:val="000024FC"/>
    <w:rsid w:val="000349E0"/>
    <w:rsid w:val="00057678"/>
    <w:rsid w:val="000643D4"/>
    <w:rsid w:val="00076384"/>
    <w:rsid w:val="00090439"/>
    <w:rsid w:val="000B0F37"/>
    <w:rsid w:val="000C319E"/>
    <w:rsid w:val="000F4B57"/>
    <w:rsid w:val="0011729F"/>
    <w:rsid w:val="00123BED"/>
    <w:rsid w:val="001250B9"/>
    <w:rsid w:val="0012742F"/>
    <w:rsid w:val="00143160"/>
    <w:rsid w:val="0014536E"/>
    <w:rsid w:val="00160D86"/>
    <w:rsid w:val="001666BC"/>
    <w:rsid w:val="001751F0"/>
    <w:rsid w:val="00191AE8"/>
    <w:rsid w:val="001B1231"/>
    <w:rsid w:val="001B4C59"/>
    <w:rsid w:val="001D3126"/>
    <w:rsid w:val="001E1764"/>
    <w:rsid w:val="001E7C78"/>
    <w:rsid w:val="001E7CBB"/>
    <w:rsid w:val="001F7B3B"/>
    <w:rsid w:val="002141C2"/>
    <w:rsid w:val="002602F1"/>
    <w:rsid w:val="00263A5E"/>
    <w:rsid w:val="00266031"/>
    <w:rsid w:val="002754B0"/>
    <w:rsid w:val="002B117A"/>
    <w:rsid w:val="002D7C9E"/>
    <w:rsid w:val="002F4C22"/>
    <w:rsid w:val="00330BE8"/>
    <w:rsid w:val="00331EEF"/>
    <w:rsid w:val="00342E33"/>
    <w:rsid w:val="00345E37"/>
    <w:rsid w:val="00347519"/>
    <w:rsid w:val="003517D8"/>
    <w:rsid w:val="003741B0"/>
    <w:rsid w:val="003818CC"/>
    <w:rsid w:val="003A453A"/>
    <w:rsid w:val="003A7B7F"/>
    <w:rsid w:val="003A7D39"/>
    <w:rsid w:val="003B71DB"/>
    <w:rsid w:val="003C2287"/>
    <w:rsid w:val="003D3A7A"/>
    <w:rsid w:val="003D47CC"/>
    <w:rsid w:val="003E54C9"/>
    <w:rsid w:val="003E70D5"/>
    <w:rsid w:val="00414096"/>
    <w:rsid w:val="00421098"/>
    <w:rsid w:val="004269EE"/>
    <w:rsid w:val="0042705B"/>
    <w:rsid w:val="00427AC0"/>
    <w:rsid w:val="00431CCB"/>
    <w:rsid w:val="004424BF"/>
    <w:rsid w:val="004516F2"/>
    <w:rsid w:val="004519F5"/>
    <w:rsid w:val="00452F7A"/>
    <w:rsid w:val="00454A58"/>
    <w:rsid w:val="004635B8"/>
    <w:rsid w:val="00466B6D"/>
    <w:rsid w:val="004869F8"/>
    <w:rsid w:val="004879FF"/>
    <w:rsid w:val="004A34A8"/>
    <w:rsid w:val="004B7F9D"/>
    <w:rsid w:val="004D403B"/>
    <w:rsid w:val="004F7121"/>
    <w:rsid w:val="0050140E"/>
    <w:rsid w:val="00523746"/>
    <w:rsid w:val="00536C62"/>
    <w:rsid w:val="00537D6E"/>
    <w:rsid w:val="0054366B"/>
    <w:rsid w:val="00564FB0"/>
    <w:rsid w:val="00572199"/>
    <w:rsid w:val="00574500"/>
    <w:rsid w:val="005842E8"/>
    <w:rsid w:val="00585CE3"/>
    <w:rsid w:val="00586B3B"/>
    <w:rsid w:val="00593706"/>
    <w:rsid w:val="005A10A8"/>
    <w:rsid w:val="005B51DF"/>
    <w:rsid w:val="005C525A"/>
    <w:rsid w:val="005D4535"/>
    <w:rsid w:val="005D7EC2"/>
    <w:rsid w:val="005F5B67"/>
    <w:rsid w:val="00603134"/>
    <w:rsid w:val="00662927"/>
    <w:rsid w:val="006631F4"/>
    <w:rsid w:val="0067231B"/>
    <w:rsid w:val="00686415"/>
    <w:rsid w:val="00690D56"/>
    <w:rsid w:val="006919E3"/>
    <w:rsid w:val="00692040"/>
    <w:rsid w:val="00693269"/>
    <w:rsid w:val="006B2BE6"/>
    <w:rsid w:val="006B2F18"/>
    <w:rsid w:val="006D3AA6"/>
    <w:rsid w:val="006E22DE"/>
    <w:rsid w:val="006E309F"/>
    <w:rsid w:val="006E394C"/>
    <w:rsid w:val="006F62B8"/>
    <w:rsid w:val="00715EE5"/>
    <w:rsid w:val="00723FDC"/>
    <w:rsid w:val="007612A9"/>
    <w:rsid w:val="007628CB"/>
    <w:rsid w:val="00772F24"/>
    <w:rsid w:val="0077394A"/>
    <w:rsid w:val="00774D4E"/>
    <w:rsid w:val="007904FF"/>
    <w:rsid w:val="0079757E"/>
    <w:rsid w:val="007A6545"/>
    <w:rsid w:val="007B0C4F"/>
    <w:rsid w:val="007B2536"/>
    <w:rsid w:val="007C0994"/>
    <w:rsid w:val="007C677F"/>
    <w:rsid w:val="007C7458"/>
    <w:rsid w:val="007E0D45"/>
    <w:rsid w:val="007E6713"/>
    <w:rsid w:val="007E7E88"/>
    <w:rsid w:val="008006B0"/>
    <w:rsid w:val="00821AA0"/>
    <w:rsid w:val="00833D80"/>
    <w:rsid w:val="00840630"/>
    <w:rsid w:val="00846472"/>
    <w:rsid w:val="0086420A"/>
    <w:rsid w:val="00865518"/>
    <w:rsid w:val="0086590E"/>
    <w:rsid w:val="00884719"/>
    <w:rsid w:val="008B5F22"/>
    <w:rsid w:val="008D2763"/>
    <w:rsid w:val="008E2F99"/>
    <w:rsid w:val="008E3F5F"/>
    <w:rsid w:val="008E767F"/>
    <w:rsid w:val="009071EF"/>
    <w:rsid w:val="00927BC3"/>
    <w:rsid w:val="00932A7F"/>
    <w:rsid w:val="00933326"/>
    <w:rsid w:val="00935EB5"/>
    <w:rsid w:val="00946E10"/>
    <w:rsid w:val="00952345"/>
    <w:rsid w:val="00955664"/>
    <w:rsid w:val="00994112"/>
    <w:rsid w:val="009A3292"/>
    <w:rsid w:val="009B2CB8"/>
    <w:rsid w:val="009F7288"/>
    <w:rsid w:val="00A064BA"/>
    <w:rsid w:val="00A543BF"/>
    <w:rsid w:val="00A639AF"/>
    <w:rsid w:val="00A73902"/>
    <w:rsid w:val="00AA416B"/>
    <w:rsid w:val="00AB06E8"/>
    <w:rsid w:val="00AB11A8"/>
    <w:rsid w:val="00AD38DC"/>
    <w:rsid w:val="00AF7416"/>
    <w:rsid w:val="00B02D4F"/>
    <w:rsid w:val="00B13182"/>
    <w:rsid w:val="00B13B92"/>
    <w:rsid w:val="00B20458"/>
    <w:rsid w:val="00B2129B"/>
    <w:rsid w:val="00B23D2A"/>
    <w:rsid w:val="00B24BCF"/>
    <w:rsid w:val="00B60644"/>
    <w:rsid w:val="00B672E5"/>
    <w:rsid w:val="00B703CF"/>
    <w:rsid w:val="00B7216E"/>
    <w:rsid w:val="00B8718E"/>
    <w:rsid w:val="00BA1E02"/>
    <w:rsid w:val="00BB2231"/>
    <w:rsid w:val="00BC0F61"/>
    <w:rsid w:val="00BD6341"/>
    <w:rsid w:val="00BE0663"/>
    <w:rsid w:val="00BF671A"/>
    <w:rsid w:val="00C00501"/>
    <w:rsid w:val="00C03222"/>
    <w:rsid w:val="00C16E4B"/>
    <w:rsid w:val="00C561A5"/>
    <w:rsid w:val="00C72BDE"/>
    <w:rsid w:val="00C7578E"/>
    <w:rsid w:val="00C75A9C"/>
    <w:rsid w:val="00C912A0"/>
    <w:rsid w:val="00C93024"/>
    <w:rsid w:val="00CC0770"/>
    <w:rsid w:val="00CC0C2E"/>
    <w:rsid w:val="00CC1DF8"/>
    <w:rsid w:val="00CC5D24"/>
    <w:rsid w:val="00CC6761"/>
    <w:rsid w:val="00CF5E84"/>
    <w:rsid w:val="00D40E2B"/>
    <w:rsid w:val="00D42284"/>
    <w:rsid w:val="00D55C77"/>
    <w:rsid w:val="00D7253D"/>
    <w:rsid w:val="00D74DEE"/>
    <w:rsid w:val="00D86185"/>
    <w:rsid w:val="00D87760"/>
    <w:rsid w:val="00D91A26"/>
    <w:rsid w:val="00D97168"/>
    <w:rsid w:val="00DB33C2"/>
    <w:rsid w:val="00DB3667"/>
    <w:rsid w:val="00DC0523"/>
    <w:rsid w:val="00DC1884"/>
    <w:rsid w:val="00DD06D5"/>
    <w:rsid w:val="00DD49BD"/>
    <w:rsid w:val="00DD5781"/>
    <w:rsid w:val="00DF6B64"/>
    <w:rsid w:val="00E00EA8"/>
    <w:rsid w:val="00E043DC"/>
    <w:rsid w:val="00E05C9D"/>
    <w:rsid w:val="00E14B8C"/>
    <w:rsid w:val="00E31BEF"/>
    <w:rsid w:val="00E36C96"/>
    <w:rsid w:val="00E3755D"/>
    <w:rsid w:val="00E50DF1"/>
    <w:rsid w:val="00E52DE5"/>
    <w:rsid w:val="00E732DA"/>
    <w:rsid w:val="00E8210F"/>
    <w:rsid w:val="00EA6A25"/>
    <w:rsid w:val="00EB44D7"/>
    <w:rsid w:val="00EB4B9E"/>
    <w:rsid w:val="00EB6274"/>
    <w:rsid w:val="00EB7564"/>
    <w:rsid w:val="00ED1AEF"/>
    <w:rsid w:val="00EE76A6"/>
    <w:rsid w:val="00EF74B1"/>
    <w:rsid w:val="00F04BE5"/>
    <w:rsid w:val="00F21DDB"/>
    <w:rsid w:val="00F30027"/>
    <w:rsid w:val="00F31886"/>
    <w:rsid w:val="00F41238"/>
    <w:rsid w:val="00F6614C"/>
    <w:rsid w:val="00F73038"/>
    <w:rsid w:val="00F75A6A"/>
    <w:rsid w:val="00FB0AD1"/>
    <w:rsid w:val="00FD52D6"/>
    <w:rsid w:val="00FD7729"/>
    <w:rsid w:val="00F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E4A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9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81C0E"/>
    <w:rPr>
      <w:color w:val="0000FF"/>
      <w:u w:val="single"/>
    </w:rPr>
  </w:style>
  <w:style w:type="paragraph" w:styleId="Footer">
    <w:name w:val="footer"/>
    <w:basedOn w:val="Normal"/>
    <w:rsid w:val="001973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73F1"/>
  </w:style>
  <w:style w:type="character" w:styleId="FollowedHyperlink">
    <w:name w:val="FollowedHyperlink"/>
    <w:basedOn w:val="DefaultParagraphFont"/>
    <w:rsid w:val="00A806E7"/>
    <w:rPr>
      <w:color w:val="800080"/>
      <w:u w:val="single"/>
    </w:rPr>
  </w:style>
  <w:style w:type="character" w:styleId="Strong">
    <w:name w:val="Strong"/>
    <w:basedOn w:val="DefaultParagraphFont"/>
    <w:qFormat/>
    <w:rsid w:val="005E426F"/>
    <w:rPr>
      <w:b/>
    </w:rPr>
  </w:style>
  <w:style w:type="paragraph" w:styleId="BalloonText">
    <w:name w:val="Balloon Text"/>
    <w:basedOn w:val="Normal"/>
    <w:semiHidden/>
    <w:rsid w:val="003F150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739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EA6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9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81C0E"/>
    <w:rPr>
      <w:color w:val="0000FF"/>
      <w:u w:val="single"/>
    </w:rPr>
  </w:style>
  <w:style w:type="paragraph" w:styleId="Footer">
    <w:name w:val="footer"/>
    <w:basedOn w:val="Normal"/>
    <w:rsid w:val="001973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73F1"/>
  </w:style>
  <w:style w:type="character" w:styleId="FollowedHyperlink">
    <w:name w:val="FollowedHyperlink"/>
    <w:basedOn w:val="DefaultParagraphFont"/>
    <w:rsid w:val="00A806E7"/>
    <w:rPr>
      <w:color w:val="800080"/>
      <w:u w:val="single"/>
    </w:rPr>
  </w:style>
  <w:style w:type="character" w:styleId="Strong">
    <w:name w:val="Strong"/>
    <w:basedOn w:val="DefaultParagraphFont"/>
    <w:qFormat/>
    <w:rsid w:val="005E426F"/>
    <w:rPr>
      <w:b/>
    </w:rPr>
  </w:style>
  <w:style w:type="paragraph" w:styleId="BalloonText">
    <w:name w:val="Balloon Text"/>
    <w:basedOn w:val="Normal"/>
    <w:semiHidden/>
    <w:rsid w:val="003F150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739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EA6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etown.edu/hono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LING 333 F05 Syllabus</vt:lpstr>
    </vt:vector>
  </TitlesOfParts>
  <Company>Georgetown University</Company>
  <LinksUpToDate>false</LinksUpToDate>
  <CharactersWithSpaces>10546</CharactersWithSpaces>
  <SharedDoc>false</SharedDoc>
  <HLinks>
    <vt:vector size="12" baseType="variant">
      <vt:variant>
        <vt:i4>4653069</vt:i4>
      </vt:variant>
      <vt:variant>
        <vt:i4>3</vt:i4>
      </vt:variant>
      <vt:variant>
        <vt:i4>0</vt:i4>
      </vt:variant>
      <vt:variant>
        <vt:i4>5</vt:i4>
      </vt:variant>
      <vt:variant>
        <vt:lpwstr>http://www.georgetown.edu/honor/</vt:lpwstr>
      </vt:variant>
      <vt:variant>
        <vt:lpwstr/>
      </vt:variant>
      <vt:variant>
        <vt:i4>327787</vt:i4>
      </vt:variant>
      <vt:variant>
        <vt:i4>0</vt:i4>
      </vt:variant>
      <vt:variant>
        <vt:i4>0</vt:i4>
      </vt:variant>
      <vt:variant>
        <vt:i4>5</vt:i4>
      </vt:variant>
      <vt:variant>
        <vt:lpwstr>mailto:jms236@georgetown.edu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LING 333 F05 Syllabus</dc:title>
  <dc:creator>Library User</dc:creator>
  <cp:lastModifiedBy>Caitlin Huntley</cp:lastModifiedBy>
  <cp:revision>2</cp:revision>
  <cp:lastPrinted>2012-08-28T11:00:00Z</cp:lastPrinted>
  <dcterms:created xsi:type="dcterms:W3CDTF">2016-05-10T17:23:00Z</dcterms:created>
  <dcterms:modified xsi:type="dcterms:W3CDTF">2016-05-10T17:23:00Z</dcterms:modified>
</cp:coreProperties>
</file>